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31" w:rsidRPr="002E2431" w:rsidRDefault="002E2431" w:rsidP="002E2431">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2E2431">
        <w:rPr>
          <w:rFonts w:ascii="Verdana" w:eastAsia="Times New Roman" w:hAnsi="Verdana" w:cs="Times New Roman"/>
          <w:b/>
          <w:bCs/>
          <w:color w:val="000000" w:themeColor="text1"/>
          <w:sz w:val="27"/>
          <w:szCs w:val="27"/>
          <w:lang w:eastAsia="it-IT"/>
        </w:rPr>
        <w:t>Circ. 10 agosto 2010, n. 3/T</w:t>
      </w:r>
      <w:bookmarkStart w:id="0" w:name="1up"/>
      <w:r w:rsidRPr="00F818C6">
        <w:rPr>
          <w:rFonts w:ascii="Verdana" w:eastAsia="Times New Roman" w:hAnsi="Verdana" w:cs="Times New Roman"/>
          <w:b/>
          <w:bCs/>
          <w:color w:val="000000" w:themeColor="text1"/>
          <w:sz w:val="14"/>
          <w:vertAlign w:val="superscript"/>
          <w:lang w:eastAsia="it-IT"/>
        </w:rPr>
        <w:t>(1)</w:t>
      </w:r>
      <w:bookmarkEnd w:id="0"/>
    </w:p>
    <w:p w:rsidR="002E2431" w:rsidRPr="002E2431" w:rsidRDefault="002E2431" w:rsidP="00F818C6">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b/>
          <w:bCs/>
          <w:i/>
          <w:iCs/>
          <w:color w:val="000000" w:themeColor="text1"/>
          <w:sz w:val="27"/>
          <w:szCs w:val="27"/>
          <w:lang w:eastAsia="it-IT"/>
        </w:rPr>
        <w:t>Art.</w:t>
      </w:r>
      <w:r w:rsidRPr="00F818C6">
        <w:rPr>
          <w:rFonts w:ascii="Verdana" w:eastAsia="Times New Roman" w:hAnsi="Verdana" w:cs="Times New Roman"/>
          <w:b/>
          <w:bCs/>
          <w:i/>
          <w:iCs/>
          <w:color w:val="000000" w:themeColor="text1"/>
          <w:sz w:val="27"/>
          <w:lang w:eastAsia="it-IT"/>
        </w:rPr>
        <w:t> 19 </w:t>
      </w:r>
      <w:r w:rsidRPr="002E2431">
        <w:rPr>
          <w:rFonts w:ascii="Verdana" w:eastAsia="Times New Roman" w:hAnsi="Verdana" w:cs="Times New Roman"/>
          <w:b/>
          <w:bCs/>
          <w:i/>
          <w:iCs/>
          <w:color w:val="000000" w:themeColor="text1"/>
          <w:sz w:val="27"/>
          <w:szCs w:val="27"/>
          <w:lang w:eastAsia="it-IT"/>
        </w:rPr>
        <w:t>del</w:t>
      </w:r>
      <w:r w:rsidRPr="00F818C6">
        <w:rPr>
          <w:rFonts w:ascii="Verdana" w:eastAsia="Times New Roman" w:hAnsi="Verdana" w:cs="Times New Roman"/>
          <w:b/>
          <w:bCs/>
          <w:i/>
          <w:iCs/>
          <w:color w:val="000000" w:themeColor="text1"/>
          <w:sz w:val="27"/>
          <w:lang w:eastAsia="it-IT"/>
        </w:rPr>
        <w:t> decreto legge 31 maggio 2010, n. 78</w:t>
      </w:r>
      <w:r w:rsidRPr="002E2431">
        <w:rPr>
          <w:rFonts w:ascii="Verdana" w:eastAsia="Times New Roman" w:hAnsi="Verdana" w:cs="Times New Roman"/>
          <w:b/>
          <w:bCs/>
          <w:color w:val="000000" w:themeColor="text1"/>
          <w:sz w:val="27"/>
          <w:szCs w:val="27"/>
          <w:lang w:eastAsia="it-IT"/>
        </w:rPr>
        <w:t>, convertito, con modificazioni, dalla</w:t>
      </w:r>
      <w:r w:rsidRPr="00F818C6">
        <w:rPr>
          <w:rFonts w:ascii="Verdana" w:eastAsia="Times New Roman" w:hAnsi="Verdana" w:cs="Times New Roman"/>
          <w:b/>
          <w:bCs/>
          <w:color w:val="000000" w:themeColor="text1"/>
          <w:sz w:val="27"/>
          <w:lang w:eastAsia="it-IT"/>
        </w:rPr>
        <w:t> </w:t>
      </w:r>
      <w:r w:rsidRPr="00F818C6">
        <w:rPr>
          <w:rFonts w:ascii="Verdana" w:eastAsia="Times New Roman" w:hAnsi="Verdana" w:cs="Times New Roman"/>
          <w:b/>
          <w:bCs/>
          <w:i/>
          <w:iCs/>
          <w:color w:val="000000" w:themeColor="text1"/>
          <w:sz w:val="27"/>
          <w:lang w:eastAsia="it-IT"/>
        </w:rPr>
        <w:t>legge 30 luglio 2010, n. 122</w:t>
      </w:r>
      <w:r w:rsidRPr="00F818C6">
        <w:rPr>
          <w:rFonts w:ascii="Verdana" w:eastAsia="Times New Roman" w:hAnsi="Verdana" w:cs="Times New Roman"/>
          <w:b/>
          <w:bCs/>
          <w:color w:val="000000" w:themeColor="text1"/>
          <w:sz w:val="27"/>
          <w:lang w:eastAsia="it-IT"/>
        </w:rPr>
        <w:t> </w:t>
      </w:r>
      <w:r w:rsidRPr="002E2431">
        <w:rPr>
          <w:rFonts w:ascii="Verdana" w:eastAsia="Times New Roman" w:hAnsi="Verdana" w:cs="Times New Roman"/>
          <w:b/>
          <w:bCs/>
          <w:color w:val="000000" w:themeColor="text1"/>
          <w:sz w:val="27"/>
          <w:szCs w:val="27"/>
          <w:lang w:eastAsia="it-IT"/>
        </w:rPr>
        <w:t>- Aggiornamento del catasto</w:t>
      </w:r>
      <w:bookmarkStart w:id="1" w:name="2up"/>
      <w:r w:rsidRPr="00F818C6">
        <w:rPr>
          <w:rFonts w:ascii="Verdana" w:eastAsia="Times New Roman" w:hAnsi="Verdana" w:cs="Times New Roman"/>
          <w:b/>
          <w:bCs/>
          <w:color w:val="000000" w:themeColor="text1"/>
          <w:sz w:val="14"/>
          <w:vertAlign w:val="superscript"/>
          <w:lang w:eastAsia="it-IT"/>
        </w:rPr>
        <w:t>(2)</w:t>
      </w:r>
      <w:bookmarkEnd w:id="1"/>
      <w:r w:rsidRPr="002E2431">
        <w:rPr>
          <w:rFonts w:ascii="Verdana" w:eastAsia="Times New Roman" w:hAnsi="Verdana" w:cs="Times New Roman"/>
          <w:b/>
          <w:bCs/>
          <w:color w:val="000000" w:themeColor="text1"/>
          <w:sz w:val="27"/>
          <w:szCs w:val="27"/>
          <w:lang w:eastAsia="it-IT"/>
        </w:rPr>
        <w:t>.</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2" w:name="1"/>
      <w:r w:rsidRPr="00F818C6">
        <w:rPr>
          <w:rFonts w:ascii="Verdana" w:eastAsia="Times New Roman" w:hAnsi="Verdana" w:cs="Times New Roman"/>
          <w:color w:val="000000" w:themeColor="text1"/>
          <w:sz w:val="16"/>
          <w:szCs w:val="16"/>
          <w:lang w:eastAsia="it-IT"/>
        </w:rPr>
        <w:t>(1)</w:t>
      </w:r>
      <w:bookmarkEnd w:id="2"/>
      <w:r w:rsidRPr="00F818C6">
        <w:rPr>
          <w:rFonts w:ascii="Verdana" w:eastAsia="Times New Roman" w:hAnsi="Verdana" w:cs="Times New Roman"/>
          <w:color w:val="000000" w:themeColor="text1"/>
          <w:sz w:val="16"/>
          <w:szCs w:val="16"/>
          <w:lang w:eastAsia="it-IT"/>
        </w:rPr>
        <w:t> </w:t>
      </w:r>
      <w:r w:rsidRPr="002E2431">
        <w:rPr>
          <w:rFonts w:ascii="Verdana" w:eastAsia="Times New Roman" w:hAnsi="Verdana" w:cs="Times New Roman"/>
          <w:color w:val="000000" w:themeColor="text1"/>
          <w:sz w:val="16"/>
          <w:szCs w:val="16"/>
          <w:lang w:eastAsia="it-IT"/>
        </w:rPr>
        <w:t>Emanata dall</w:t>
      </w:r>
      <w:r w:rsidR="00F818C6" w:rsidRPr="00F818C6">
        <w:rPr>
          <w:rFonts w:ascii="Verdana" w:eastAsia="Times New Roman" w:hAnsi="Verdana" w:cs="Times New Roman"/>
          <w:color w:val="000000" w:themeColor="text1"/>
          <w:sz w:val="16"/>
          <w:szCs w:val="16"/>
          <w:lang w:eastAsia="it-IT"/>
        </w:rPr>
        <w:t>’</w:t>
      </w:r>
      <w:r w:rsidRPr="002E2431">
        <w:rPr>
          <w:rFonts w:ascii="Verdana" w:eastAsia="Times New Roman" w:hAnsi="Verdana" w:cs="Times New Roman"/>
          <w:color w:val="000000" w:themeColor="text1"/>
          <w:sz w:val="16"/>
          <w:szCs w:val="16"/>
          <w:lang w:eastAsia="it-IT"/>
        </w:rPr>
        <w:t>Agenzia del territorio.</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3" w:name="2"/>
      <w:r w:rsidRPr="00F818C6">
        <w:rPr>
          <w:rFonts w:ascii="Verdana" w:eastAsia="Times New Roman" w:hAnsi="Verdana" w:cs="Times New Roman"/>
          <w:color w:val="000000" w:themeColor="text1"/>
          <w:sz w:val="16"/>
          <w:szCs w:val="16"/>
          <w:lang w:eastAsia="it-IT"/>
        </w:rPr>
        <w:t>(2)</w:t>
      </w:r>
      <w:bookmarkEnd w:id="3"/>
      <w:r w:rsidRPr="002E2431">
        <w:rPr>
          <w:rFonts w:ascii="Verdana" w:eastAsia="Times New Roman" w:hAnsi="Verdana" w:cs="Times New Roman"/>
          <w:color w:val="000000" w:themeColor="text1"/>
          <w:sz w:val="16"/>
          <w:szCs w:val="16"/>
          <w:lang w:eastAsia="it-IT"/>
        </w:rPr>
        <w:t> Cfr., per ulteriori chiarimenti in materia,</w:t>
      </w:r>
      <w:r w:rsidRPr="00F818C6">
        <w:rPr>
          <w:rFonts w:ascii="Verdana" w:eastAsia="Times New Roman" w:hAnsi="Verdana" w:cs="Times New Roman"/>
          <w:color w:val="000000" w:themeColor="text1"/>
          <w:sz w:val="16"/>
          <w:szCs w:val="16"/>
          <w:lang w:eastAsia="it-IT"/>
        </w:rPr>
        <w:t> </w:t>
      </w:r>
      <w:r w:rsidRPr="00F818C6">
        <w:rPr>
          <w:rFonts w:ascii="Verdana" w:eastAsia="Times New Roman" w:hAnsi="Verdana" w:cs="Times New Roman"/>
          <w:i/>
          <w:iCs/>
          <w:color w:val="000000" w:themeColor="text1"/>
          <w:sz w:val="16"/>
          <w:szCs w:val="16"/>
          <w:lang w:eastAsia="it-IT"/>
        </w:rPr>
        <w:t>circolare 18 novembre 2011, n. 7/T</w:t>
      </w:r>
      <w:r w:rsidRPr="002E2431">
        <w:rPr>
          <w:rFonts w:ascii="Verdana" w:eastAsia="Times New Roman" w:hAnsi="Verdana" w:cs="Times New Roman"/>
          <w:color w:val="000000" w:themeColor="text1"/>
          <w:sz w:val="16"/>
          <w:szCs w:val="16"/>
          <w:lang w:eastAsia="it-IT"/>
        </w:rPr>
        <w:t>, emanata dall</w:t>
      </w:r>
      <w:r w:rsidR="00F818C6" w:rsidRPr="00F818C6">
        <w:rPr>
          <w:rFonts w:ascii="Verdana" w:eastAsia="Times New Roman" w:hAnsi="Verdana" w:cs="Times New Roman"/>
          <w:color w:val="000000" w:themeColor="text1"/>
          <w:sz w:val="16"/>
          <w:szCs w:val="16"/>
          <w:lang w:eastAsia="it-IT"/>
        </w:rPr>
        <w:t>’</w:t>
      </w:r>
      <w:r w:rsidRPr="002E2431">
        <w:rPr>
          <w:rFonts w:ascii="Verdana" w:eastAsia="Times New Roman" w:hAnsi="Verdana" w:cs="Times New Roman"/>
          <w:color w:val="000000" w:themeColor="text1"/>
          <w:sz w:val="16"/>
          <w:szCs w:val="16"/>
          <w:lang w:eastAsia="it-IT"/>
        </w:rPr>
        <w:t>Agenzia del territorio.</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 </w:t>
      </w:r>
    </w:p>
    <w:tbl>
      <w:tblPr>
        <w:tblW w:w="0" w:type="auto"/>
        <w:jc w:val="center"/>
        <w:tblCellSpacing w:w="0" w:type="dxa"/>
        <w:tblCellMar>
          <w:left w:w="0" w:type="dxa"/>
          <w:right w:w="0" w:type="dxa"/>
        </w:tblCellMar>
        <w:tblLook w:val="04A0"/>
      </w:tblPr>
      <w:tblGrid>
        <w:gridCol w:w="183"/>
        <w:gridCol w:w="443"/>
        <w:gridCol w:w="1429"/>
      </w:tblGrid>
      <w:tr w:rsidR="002E2431" w:rsidRPr="002E2431" w:rsidTr="002E2431">
        <w:trPr>
          <w:tblCellSpacing w:w="0" w:type="dxa"/>
          <w:jc w:val="center"/>
        </w:trPr>
        <w:tc>
          <w:tcPr>
            <w:tcW w:w="0" w:type="auto"/>
            <w:tcMar>
              <w:top w:w="0" w:type="dxa"/>
              <w:left w:w="70" w:type="dxa"/>
              <w:bottom w:w="0" w:type="dxa"/>
              <w:right w:w="70" w:type="dxa"/>
            </w:tcMar>
            <w:hideMark/>
          </w:tcPr>
          <w:p w:rsidR="002E2431" w:rsidRPr="002E2431" w:rsidRDefault="002E2431" w:rsidP="002E2431">
            <w:pPr>
              <w:spacing w:after="0" w:line="240" w:lineRule="auto"/>
              <w:rPr>
                <w:rFonts w:ascii="Times New Roman" w:eastAsia="Times New Roman" w:hAnsi="Times New Roman" w:cs="Times New Roman"/>
                <w:color w:val="000000" w:themeColor="text1"/>
                <w:sz w:val="17"/>
                <w:szCs w:val="17"/>
                <w:lang w:eastAsia="it-IT"/>
              </w:rPr>
            </w:pPr>
            <w:r w:rsidRPr="002E2431">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2E2431" w:rsidRPr="002E2431" w:rsidRDefault="002E2431" w:rsidP="002E2431">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E2431">
              <w:rPr>
                <w:rFonts w:ascii="Times New Roman" w:eastAsia="Times New Roman" w:hAnsi="Times New Roman" w:cs="Times New Roman"/>
                <w:color w:val="000000" w:themeColor="text1"/>
                <w:sz w:val="17"/>
                <w:szCs w:val="17"/>
                <w:lang w:eastAsia="it-IT"/>
              </w:rPr>
              <w:t>Agli</w:t>
            </w:r>
          </w:p>
        </w:tc>
        <w:tc>
          <w:tcPr>
            <w:tcW w:w="0" w:type="auto"/>
            <w:tcMar>
              <w:top w:w="0" w:type="dxa"/>
              <w:left w:w="70" w:type="dxa"/>
              <w:bottom w:w="0" w:type="dxa"/>
              <w:right w:w="70" w:type="dxa"/>
            </w:tcMar>
            <w:hideMark/>
          </w:tcPr>
          <w:p w:rsidR="002E2431" w:rsidRPr="002E2431" w:rsidRDefault="002E2431" w:rsidP="002E2431">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2E2431">
              <w:rPr>
                <w:rFonts w:ascii="Times New Roman" w:eastAsia="Times New Roman" w:hAnsi="Times New Roman" w:cs="Times New Roman"/>
                <w:color w:val="000000" w:themeColor="text1"/>
                <w:sz w:val="17"/>
                <w:szCs w:val="17"/>
                <w:lang w:eastAsia="it-IT"/>
              </w:rPr>
              <w:t>Uffici provinciali</w:t>
            </w:r>
          </w:p>
        </w:tc>
      </w:tr>
      <w:tr w:rsidR="002E2431" w:rsidRPr="002E2431" w:rsidTr="002E2431">
        <w:trPr>
          <w:tblCellSpacing w:w="0" w:type="dxa"/>
          <w:jc w:val="center"/>
        </w:trPr>
        <w:tc>
          <w:tcPr>
            <w:tcW w:w="0" w:type="auto"/>
            <w:tcMar>
              <w:top w:w="0" w:type="dxa"/>
              <w:left w:w="70" w:type="dxa"/>
              <w:bottom w:w="0" w:type="dxa"/>
              <w:right w:w="70" w:type="dxa"/>
            </w:tcMar>
            <w:hideMark/>
          </w:tcPr>
          <w:p w:rsidR="002E2431" w:rsidRPr="002E2431" w:rsidRDefault="002E2431" w:rsidP="002E2431">
            <w:pPr>
              <w:spacing w:after="0" w:line="240" w:lineRule="auto"/>
              <w:rPr>
                <w:rFonts w:ascii="Times New Roman" w:eastAsia="Times New Roman" w:hAnsi="Times New Roman" w:cs="Times New Roman"/>
                <w:color w:val="000000" w:themeColor="text1"/>
                <w:sz w:val="17"/>
                <w:szCs w:val="17"/>
                <w:lang w:eastAsia="it-IT"/>
              </w:rPr>
            </w:pPr>
            <w:r w:rsidRPr="002E2431">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2E2431" w:rsidRPr="002E2431" w:rsidRDefault="002E2431" w:rsidP="002E2431">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E2431">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2E2431" w:rsidRPr="002E2431" w:rsidRDefault="002E2431" w:rsidP="002E2431">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2E2431">
              <w:rPr>
                <w:rFonts w:ascii="Times New Roman" w:eastAsia="Times New Roman" w:hAnsi="Times New Roman" w:cs="Times New Roman"/>
                <w:color w:val="000000" w:themeColor="text1"/>
                <w:sz w:val="17"/>
                <w:szCs w:val="17"/>
                <w:lang w:eastAsia="it-IT"/>
              </w:rPr>
              <w:t>Direzioni regionali</w:t>
            </w:r>
          </w:p>
        </w:tc>
      </w:tr>
      <w:tr w:rsidR="002E2431" w:rsidRPr="002E2431" w:rsidTr="002E2431">
        <w:trPr>
          <w:tblCellSpacing w:w="0" w:type="dxa"/>
          <w:jc w:val="center"/>
        </w:trPr>
        <w:tc>
          <w:tcPr>
            <w:tcW w:w="0" w:type="auto"/>
            <w:tcMar>
              <w:top w:w="0" w:type="dxa"/>
              <w:left w:w="70" w:type="dxa"/>
              <w:bottom w:w="0" w:type="dxa"/>
              <w:right w:w="70" w:type="dxa"/>
            </w:tcMar>
            <w:hideMark/>
          </w:tcPr>
          <w:p w:rsidR="002E2431" w:rsidRPr="002E2431" w:rsidRDefault="002E2431" w:rsidP="002E2431">
            <w:pPr>
              <w:spacing w:after="0" w:line="240" w:lineRule="auto"/>
              <w:rPr>
                <w:rFonts w:ascii="Times New Roman" w:eastAsia="Times New Roman" w:hAnsi="Times New Roman" w:cs="Times New Roman"/>
                <w:color w:val="000000" w:themeColor="text1"/>
                <w:sz w:val="17"/>
                <w:szCs w:val="17"/>
                <w:lang w:eastAsia="it-IT"/>
              </w:rPr>
            </w:pPr>
            <w:r w:rsidRPr="002E2431">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2E2431" w:rsidRPr="002E2431" w:rsidRDefault="002E2431" w:rsidP="002E2431">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2E2431">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2E2431" w:rsidRPr="002E2431" w:rsidRDefault="002E2431" w:rsidP="002E2431">
            <w:pPr>
              <w:spacing w:before="100" w:beforeAutospacing="1" w:after="100" w:afterAutospacing="1" w:line="240" w:lineRule="auto"/>
              <w:jc w:val="both"/>
              <w:rPr>
                <w:rFonts w:ascii="Times New Roman" w:eastAsia="Times New Roman" w:hAnsi="Times New Roman" w:cs="Times New Roman"/>
                <w:color w:val="000000" w:themeColor="text1"/>
                <w:sz w:val="17"/>
                <w:szCs w:val="17"/>
                <w:lang w:eastAsia="it-IT"/>
              </w:rPr>
            </w:pPr>
            <w:r w:rsidRPr="002E2431">
              <w:rPr>
                <w:rFonts w:ascii="Times New Roman" w:eastAsia="Times New Roman" w:hAnsi="Times New Roman" w:cs="Times New Roman"/>
                <w:color w:val="000000" w:themeColor="text1"/>
                <w:sz w:val="17"/>
                <w:szCs w:val="17"/>
                <w:lang w:eastAsia="it-IT"/>
              </w:rPr>
              <w:t>Direzioni centrali</w:t>
            </w:r>
          </w:p>
        </w:tc>
      </w:tr>
      <w:tr w:rsidR="002E2431" w:rsidRPr="002E2431" w:rsidTr="002E2431">
        <w:trPr>
          <w:tblCellSpacing w:w="0" w:type="dxa"/>
          <w:jc w:val="center"/>
        </w:trPr>
        <w:tc>
          <w:tcPr>
            <w:tcW w:w="0" w:type="auto"/>
            <w:vAlign w:val="center"/>
            <w:hideMark/>
          </w:tcPr>
          <w:p w:rsidR="002E2431" w:rsidRPr="002E2431" w:rsidRDefault="002E2431" w:rsidP="002E2431">
            <w:pPr>
              <w:spacing w:after="0" w:line="240" w:lineRule="auto"/>
              <w:rPr>
                <w:rFonts w:ascii="Times New Roman" w:eastAsia="Times New Roman" w:hAnsi="Times New Roman" w:cs="Times New Roman"/>
                <w:color w:val="000000" w:themeColor="text1"/>
                <w:sz w:val="17"/>
                <w:szCs w:val="17"/>
                <w:lang w:eastAsia="it-IT"/>
              </w:rPr>
            </w:pPr>
          </w:p>
        </w:tc>
        <w:tc>
          <w:tcPr>
            <w:tcW w:w="0" w:type="auto"/>
            <w:vAlign w:val="center"/>
            <w:hideMark/>
          </w:tcPr>
          <w:p w:rsidR="002E2431" w:rsidRPr="002E2431" w:rsidRDefault="002E2431" w:rsidP="002E2431">
            <w:pPr>
              <w:spacing w:after="0" w:line="240" w:lineRule="auto"/>
              <w:rPr>
                <w:rFonts w:ascii="Times New Roman" w:eastAsia="Times New Roman" w:hAnsi="Times New Roman" w:cs="Times New Roman"/>
                <w:color w:val="000000" w:themeColor="text1"/>
                <w:sz w:val="17"/>
                <w:szCs w:val="17"/>
                <w:lang w:eastAsia="it-IT"/>
              </w:rPr>
            </w:pPr>
          </w:p>
        </w:tc>
        <w:tc>
          <w:tcPr>
            <w:tcW w:w="0" w:type="auto"/>
            <w:vAlign w:val="center"/>
            <w:hideMark/>
          </w:tcPr>
          <w:p w:rsidR="002E2431" w:rsidRPr="002E2431" w:rsidRDefault="002E2431" w:rsidP="002E2431">
            <w:pPr>
              <w:spacing w:after="0" w:line="240" w:lineRule="auto"/>
              <w:rPr>
                <w:rFonts w:ascii="Times New Roman" w:eastAsia="Times New Roman" w:hAnsi="Times New Roman" w:cs="Times New Roman"/>
                <w:color w:val="000000" w:themeColor="text1"/>
                <w:sz w:val="17"/>
                <w:szCs w:val="17"/>
                <w:lang w:eastAsia="it-IT"/>
              </w:rPr>
            </w:pPr>
          </w:p>
        </w:tc>
      </w:tr>
    </w:tbl>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 </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Come noto,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articolo</w:t>
      </w:r>
      <w:r w:rsidRPr="00F818C6">
        <w:rPr>
          <w:rFonts w:ascii="Verdana" w:eastAsia="Times New Roman" w:hAnsi="Verdana" w:cs="Times New Roman"/>
          <w:i/>
          <w:iCs/>
          <w:color w:val="000000" w:themeColor="text1"/>
          <w:sz w:val="27"/>
          <w:lang w:eastAsia="it-IT"/>
        </w:rPr>
        <w:t> 19 </w:t>
      </w:r>
      <w:r w:rsidRPr="002E2431">
        <w:rPr>
          <w:rFonts w:ascii="Verdana" w:eastAsia="Times New Roman" w:hAnsi="Verdana" w:cs="Times New Roman"/>
          <w:i/>
          <w:iCs/>
          <w:color w:val="000000" w:themeColor="text1"/>
          <w:sz w:val="27"/>
          <w:szCs w:val="27"/>
          <w:lang w:eastAsia="it-IT"/>
        </w:rPr>
        <w:t>del</w:t>
      </w:r>
      <w:r w:rsidRPr="00F818C6">
        <w:rPr>
          <w:rFonts w:ascii="Verdana" w:eastAsia="Times New Roman" w:hAnsi="Verdana" w:cs="Times New Roman"/>
          <w:i/>
          <w:iCs/>
          <w:color w:val="000000" w:themeColor="text1"/>
          <w:sz w:val="27"/>
          <w:lang w:eastAsia="it-IT"/>
        </w:rPr>
        <w:t> decreto legge 31 maggio 2010, n. 78</w:t>
      </w:r>
      <w:r w:rsidRPr="002E2431">
        <w:rPr>
          <w:rFonts w:ascii="Verdana" w:eastAsia="Times New Roman" w:hAnsi="Verdana" w:cs="Times New Roman"/>
          <w:color w:val="000000" w:themeColor="text1"/>
          <w:sz w:val="27"/>
          <w:szCs w:val="27"/>
          <w:lang w:eastAsia="it-IT"/>
        </w:rPr>
        <w:t>, convertito con modificazioni dalla</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legge 30 luglio 2010, n. 122</w:t>
      </w:r>
      <w:r w:rsidRPr="002E2431">
        <w:rPr>
          <w:rFonts w:ascii="Verdana" w:eastAsia="Times New Roman" w:hAnsi="Verdana" w:cs="Times New Roman"/>
          <w:color w:val="000000" w:themeColor="text1"/>
          <w:sz w:val="27"/>
          <w:szCs w:val="27"/>
          <w:lang w:eastAsia="it-IT"/>
        </w:rPr>
        <w:t>, pubblicata nella Gazzetta Ufficiale n. 176 del 30 luglio 2010 - Supplemento Ordinario n. 174/L - ha introdotto novità di rilievo in materia di aggiornamento del catasto.</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Sull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argomento, questa Agenzia ha già fornito alcune indicazioni con la</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Circ. 9 luglio 2010, n. 2/T</w:t>
      </w:r>
      <w:r w:rsidRPr="00F818C6">
        <w:rPr>
          <w:rFonts w:ascii="Verdana" w:eastAsia="Times New Roman" w:hAnsi="Verdana" w:cs="Times New Roman"/>
          <w:color w:val="000000" w:themeColor="text1"/>
          <w:sz w:val="27"/>
          <w:lang w:eastAsia="it-IT"/>
        </w:rPr>
        <w:t> </w:t>
      </w:r>
      <w:r w:rsidRPr="002E2431">
        <w:rPr>
          <w:rFonts w:ascii="Verdana" w:eastAsia="Times New Roman" w:hAnsi="Verdana" w:cs="Times New Roman"/>
          <w:color w:val="000000" w:themeColor="text1"/>
          <w:sz w:val="27"/>
          <w:szCs w:val="27"/>
          <w:lang w:eastAsia="it-IT"/>
        </w:rPr>
        <w:t>emanata al fine di consentire, in sede di prima attuazione,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omogenea e corretta applicazione delle disposizioni di cui al comma 14 del citato articolo 19, disposizioni aventi effetto dal 1° luglio 2010.</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Considerata la rilevanza della materia, si ritiene opportuno fornire, di seguito, una panoramica sulle novità di maggiore rilievo, anche alla luce delle modificazioni apportate al testo normativo dalla citata legge di conversione.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 </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18C6">
        <w:rPr>
          <w:rFonts w:ascii="Verdana" w:eastAsia="Times New Roman" w:hAnsi="Verdana" w:cs="Times New Roman"/>
          <w:b/>
          <w:bCs/>
          <w:color w:val="000000" w:themeColor="text1"/>
          <w:sz w:val="27"/>
          <w:lang w:eastAsia="it-IT"/>
        </w:rPr>
        <w:t>1.</w:t>
      </w:r>
      <w:r w:rsidRPr="002E2431">
        <w:rPr>
          <w:rFonts w:ascii="Verdana" w:eastAsia="Times New Roman" w:hAnsi="Verdana" w:cs="Times New Roman"/>
          <w:color w:val="000000" w:themeColor="text1"/>
          <w:sz w:val="27"/>
          <w:szCs w:val="27"/>
          <w:lang w:eastAsia="it-IT"/>
        </w:rPr>
        <w:t> </w:t>
      </w:r>
      <w:r w:rsidRPr="00F818C6">
        <w:rPr>
          <w:rFonts w:ascii="Verdana" w:eastAsia="Times New Roman" w:hAnsi="Verdana" w:cs="Times New Roman"/>
          <w:i/>
          <w:iCs/>
          <w:color w:val="000000" w:themeColor="text1"/>
          <w:sz w:val="27"/>
          <w:lang w:eastAsia="it-IT"/>
        </w:rPr>
        <w:t>Le nuove disposizioni in materia di aggiornamento del catasto: considerazioni generali.</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Le disposizioni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art. 19 in argomento realizzano un complesso intervento finalizzato, in un</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ottica generale di contrasto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evasione ed elusione fiscale nel settore immobiliare,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aggiornamento e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allineamento delle banche dati catastali con quelle di pubblicità immobiliare.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Quattro sono le principali linee direttrici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intervento normativo:</w:t>
      </w:r>
    </w:p>
    <w:p w:rsidR="002E2431" w:rsidRPr="002E2431" w:rsidRDefault="002E2431" w:rsidP="002E2431">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lastRenderedPageBreak/>
        <w:t>a) attivazione, a decorrere dal 1° gennaio 2011,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Anagrafe Immobiliare Integrata (commi 1 e 3);</w:t>
      </w:r>
    </w:p>
    <w:p w:rsidR="002E2431" w:rsidRPr="002E2431" w:rsidRDefault="002E2431" w:rsidP="002E2431">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b) individuazione delle modalità attraverso le quali assicurare, relativamente ai dati catastali,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accesso alle banche dati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da parte dei Comuni e attuare il processo di decentramento di funzioni catastali (commi 2, 2-bis, 4, 5, 5-bis, 5-ter e 6);</w:t>
      </w:r>
    </w:p>
    <w:p w:rsidR="002E2431" w:rsidRPr="002E2431" w:rsidRDefault="002E2431" w:rsidP="002E2431">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c) recupero di gettito fiscale, attraverso attività correlate, fra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altro,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identificazione degli immobili non dichiarati in catasto (commi da 7 a 13);</w:t>
      </w:r>
    </w:p>
    <w:p w:rsidR="002E2431" w:rsidRPr="002E2431" w:rsidRDefault="002E2431" w:rsidP="002E2431">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d) obbligo di inserimento, negli atti e nelle richieste di registrazione dei contratti di locazione, di determinati riferimenti e indicazioni di natura catastale (commi 14 e 15).</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 </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18C6">
        <w:rPr>
          <w:rFonts w:ascii="Verdana" w:eastAsia="Times New Roman" w:hAnsi="Verdana" w:cs="Times New Roman"/>
          <w:b/>
          <w:bCs/>
          <w:color w:val="000000" w:themeColor="text1"/>
          <w:sz w:val="27"/>
          <w:lang w:eastAsia="it-IT"/>
        </w:rPr>
        <w:t>2.</w:t>
      </w:r>
      <w:r w:rsidRPr="002E2431">
        <w:rPr>
          <w:rFonts w:ascii="Verdana" w:eastAsia="Times New Roman" w:hAnsi="Verdana" w:cs="Times New Roman"/>
          <w:color w:val="000000" w:themeColor="text1"/>
          <w:sz w:val="27"/>
          <w:szCs w:val="27"/>
          <w:lang w:eastAsia="it-IT"/>
        </w:rPr>
        <w:t> </w:t>
      </w:r>
      <w:r w:rsidRPr="00F818C6">
        <w:rPr>
          <w:rFonts w:ascii="Verdana" w:eastAsia="Times New Roman" w:hAnsi="Verdana" w:cs="Times New Roman"/>
          <w:i/>
          <w:iCs/>
          <w:color w:val="000000" w:themeColor="text1"/>
          <w:sz w:val="27"/>
          <w:lang w:eastAsia="it-IT"/>
        </w:rPr>
        <w:t>L</w:t>
      </w:r>
      <w:r w:rsidR="00F818C6" w:rsidRPr="00F818C6">
        <w:rPr>
          <w:rFonts w:ascii="Verdana" w:eastAsia="Times New Roman" w:hAnsi="Verdana" w:cs="Times New Roman"/>
          <w:i/>
          <w:iCs/>
          <w:color w:val="000000" w:themeColor="text1"/>
          <w:sz w:val="27"/>
          <w:lang w:eastAsia="it-IT"/>
        </w:rPr>
        <w:t>’</w:t>
      </w:r>
      <w:r w:rsidRPr="00F818C6">
        <w:rPr>
          <w:rFonts w:ascii="Verdana" w:eastAsia="Times New Roman" w:hAnsi="Verdana" w:cs="Times New Roman"/>
          <w:i/>
          <w:iCs/>
          <w:color w:val="000000" w:themeColor="text1"/>
          <w:sz w:val="27"/>
          <w:lang w:eastAsia="it-IT"/>
        </w:rPr>
        <w:t>Anagrafe Immobiliare Integrata.</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attivazione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Anagrafe Immobiliare Integrata, la cui costituzione è già prevista dall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w:t>
      </w:r>
      <w:r w:rsidRPr="00F818C6">
        <w:rPr>
          <w:rFonts w:ascii="Verdana" w:eastAsia="Times New Roman" w:hAnsi="Verdana" w:cs="Times New Roman"/>
          <w:i/>
          <w:iCs/>
          <w:color w:val="000000" w:themeColor="text1"/>
          <w:sz w:val="27"/>
          <w:lang w:eastAsia="it-IT"/>
        </w:rPr>
        <w:t> 64 </w:t>
      </w:r>
      <w:r w:rsidRPr="002E2431">
        <w:rPr>
          <w:rFonts w:ascii="Verdana" w:eastAsia="Times New Roman" w:hAnsi="Verdana" w:cs="Times New Roman"/>
          <w:i/>
          <w:iCs/>
          <w:color w:val="000000" w:themeColor="text1"/>
          <w:sz w:val="27"/>
          <w:szCs w:val="27"/>
          <w:lang w:eastAsia="it-IT"/>
        </w:rPr>
        <w:t>del</w:t>
      </w:r>
      <w:r w:rsidRPr="00F818C6">
        <w:rPr>
          <w:rFonts w:ascii="Verdana" w:eastAsia="Times New Roman" w:hAnsi="Verdana" w:cs="Times New Roman"/>
          <w:i/>
          <w:iCs/>
          <w:color w:val="000000" w:themeColor="text1"/>
          <w:sz w:val="27"/>
          <w:lang w:eastAsia="it-IT"/>
        </w:rPr>
        <w:t> decreto legislativo 30 luglio 1999, n. 300</w:t>
      </w:r>
      <w:r w:rsidRPr="002E2431">
        <w:rPr>
          <w:rFonts w:ascii="Verdana" w:eastAsia="Times New Roman" w:hAnsi="Verdana" w:cs="Times New Roman"/>
          <w:color w:val="000000" w:themeColor="text1"/>
          <w:sz w:val="27"/>
          <w:szCs w:val="27"/>
          <w:lang w:eastAsia="it-IT"/>
        </w:rPr>
        <w:t>, consente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del Territorio di perseguire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obiettivo della piena integrazione, ai fini fiscali, delle banche dati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stessa.</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Finalità precipua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Anagrafe Immobiliare Integrata è quella di fornire un efficace supporto alla fiscalità immobiliare, allo scopo di individuare correttamente gli immobili, la relativa base imponibile, nonché il soggetto titolare di diritti reali, in quanto soggetto passivo d</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imposta.</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w:t>
      </w:r>
      <w:r w:rsidRPr="00F818C6">
        <w:rPr>
          <w:rFonts w:ascii="Verdana" w:eastAsia="Times New Roman" w:hAnsi="Verdana" w:cs="Times New Roman"/>
          <w:i/>
          <w:iCs/>
          <w:color w:val="000000" w:themeColor="text1"/>
          <w:sz w:val="27"/>
          <w:lang w:eastAsia="it-IT"/>
        </w:rPr>
        <w:t> 19 </w:t>
      </w:r>
      <w:r w:rsidRPr="002E2431">
        <w:rPr>
          <w:rFonts w:ascii="Verdana" w:eastAsia="Times New Roman" w:hAnsi="Verdana" w:cs="Times New Roman"/>
          <w:i/>
          <w:iCs/>
          <w:color w:val="000000" w:themeColor="text1"/>
          <w:sz w:val="27"/>
          <w:szCs w:val="27"/>
          <w:lang w:eastAsia="it-IT"/>
        </w:rPr>
        <w:t>del</w:t>
      </w:r>
      <w:r w:rsidRPr="00F818C6">
        <w:rPr>
          <w:rFonts w:ascii="Verdana" w:eastAsia="Times New Roman" w:hAnsi="Verdana" w:cs="Times New Roman"/>
          <w:i/>
          <w:iCs/>
          <w:color w:val="000000" w:themeColor="text1"/>
          <w:sz w:val="27"/>
          <w:lang w:eastAsia="it-IT"/>
        </w:rPr>
        <w:t> decreto legge n. 78 del 2010</w:t>
      </w:r>
      <w:r w:rsidRPr="00F818C6">
        <w:rPr>
          <w:rFonts w:ascii="Verdana" w:eastAsia="Times New Roman" w:hAnsi="Verdana" w:cs="Times New Roman"/>
          <w:color w:val="000000" w:themeColor="text1"/>
          <w:sz w:val="27"/>
          <w:lang w:eastAsia="it-IT"/>
        </w:rPr>
        <w:t> </w:t>
      </w:r>
      <w:r w:rsidRPr="002E2431">
        <w:rPr>
          <w:rFonts w:ascii="Verdana" w:eastAsia="Times New Roman" w:hAnsi="Verdana" w:cs="Times New Roman"/>
          <w:color w:val="000000" w:themeColor="text1"/>
          <w:sz w:val="27"/>
          <w:szCs w:val="27"/>
          <w:lang w:eastAsia="it-IT"/>
        </w:rPr>
        <w:t>in esame ne ha previsto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effettivo avvio a decorrere dal 1° gennaio 2011 (comma 1), demandando ad appositi decreti di natura non regolamentare del Ministro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Economia e delle Finanze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 xml:space="preserve">introduzione ai fini fiscali della "attestazione integrata </w:t>
      </w:r>
      <w:proofErr w:type="spellStart"/>
      <w:r w:rsidRPr="002E2431">
        <w:rPr>
          <w:rFonts w:ascii="Verdana" w:eastAsia="Times New Roman" w:hAnsi="Verdana" w:cs="Times New Roman"/>
          <w:color w:val="000000" w:themeColor="text1"/>
          <w:sz w:val="27"/>
          <w:szCs w:val="27"/>
          <w:lang w:eastAsia="it-IT"/>
        </w:rPr>
        <w:t>ipotecario-catastale</w:t>
      </w:r>
      <w:proofErr w:type="spellEnd"/>
      <w:r w:rsidRPr="002E2431">
        <w:rPr>
          <w:rFonts w:ascii="Verdana" w:eastAsia="Times New Roman" w:hAnsi="Verdana" w:cs="Times New Roman"/>
          <w:color w:val="000000" w:themeColor="text1"/>
          <w:sz w:val="27"/>
          <w:szCs w:val="27"/>
          <w:lang w:eastAsia="it-IT"/>
        </w:rPr>
        <w:t>" (comma 3).</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Con riferimento alla citata "attestazione", detti provvedimenti dovranno prevedere, in particolare:</w:t>
      </w:r>
    </w:p>
    <w:p w:rsidR="002E2431" w:rsidRPr="002E2431" w:rsidRDefault="002E2431" w:rsidP="002E2431">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a) le modalità di erogazione;</w:t>
      </w:r>
    </w:p>
    <w:p w:rsidR="002E2431" w:rsidRPr="002E2431" w:rsidRDefault="002E2431" w:rsidP="002E2431">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b) gli effetti;</w:t>
      </w:r>
    </w:p>
    <w:p w:rsidR="002E2431" w:rsidRPr="002E2431" w:rsidRDefault="002E2431" w:rsidP="002E2431">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c) la progressiva implementazione di ulteriori informazioni e servizi.</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lastRenderedPageBreak/>
        <w:t>Con tali decreti sono, inoltre, fissati i diritti dovuti per il rilascio della stessa.</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A norma del comma 2 del medesimo articolo 19, come modificato dalla legge di conversione,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accesso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Anagrafe Immobiliare Integrata è garantito in forma gratuita ai Comuni, sulla base di un sistema di regole tecnico-giuridiche, da emanare con decreti del Ministro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 xml:space="preserve">Economia e delle Finanze, previa intesa con la Conferenza </w:t>
      </w:r>
      <w:proofErr w:type="spellStart"/>
      <w:r w:rsidRPr="002E2431">
        <w:rPr>
          <w:rFonts w:ascii="Verdana" w:eastAsia="Times New Roman" w:hAnsi="Verdana" w:cs="Times New Roman"/>
          <w:color w:val="000000" w:themeColor="text1"/>
          <w:sz w:val="27"/>
          <w:szCs w:val="27"/>
          <w:lang w:eastAsia="it-IT"/>
        </w:rPr>
        <w:t>Stato-città</w:t>
      </w:r>
      <w:proofErr w:type="spellEnd"/>
      <w:r w:rsidRPr="002E2431">
        <w:rPr>
          <w:rFonts w:ascii="Verdana" w:eastAsia="Times New Roman" w:hAnsi="Verdana" w:cs="Times New Roman"/>
          <w:color w:val="000000" w:themeColor="text1"/>
          <w:sz w:val="27"/>
          <w:szCs w:val="27"/>
          <w:lang w:eastAsia="it-IT"/>
        </w:rPr>
        <w:t xml:space="preserve"> ed autonomie locali, che disciplineranno modalità e termini del servizio.</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La legge di conversione,</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L. n. 122 del 2010</w:t>
      </w:r>
      <w:r w:rsidRPr="00F818C6">
        <w:rPr>
          <w:rFonts w:ascii="Verdana" w:eastAsia="Times New Roman" w:hAnsi="Verdana" w:cs="Times New Roman"/>
          <w:color w:val="000000" w:themeColor="text1"/>
          <w:sz w:val="27"/>
          <w:lang w:eastAsia="it-IT"/>
        </w:rPr>
        <w:t> </w:t>
      </w:r>
      <w:r w:rsidRPr="002E2431">
        <w:rPr>
          <w:rFonts w:ascii="Verdana" w:eastAsia="Times New Roman" w:hAnsi="Verdana" w:cs="Times New Roman"/>
          <w:color w:val="000000" w:themeColor="text1"/>
          <w:sz w:val="27"/>
          <w:szCs w:val="27"/>
          <w:lang w:eastAsia="it-IT"/>
        </w:rPr>
        <w:t>ha, inoltre, introdotto nel</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decreto legge n. 78 del 2010</w:t>
      </w:r>
      <w:r w:rsidRPr="002E2431">
        <w:rPr>
          <w:rFonts w:ascii="Verdana" w:eastAsia="Times New Roman" w:hAnsi="Verdana" w:cs="Times New Roman"/>
          <w:color w:val="000000" w:themeColor="text1"/>
          <w:sz w:val="27"/>
          <w:szCs w:val="27"/>
          <w:lang w:eastAsia="it-IT"/>
        </w:rPr>
        <w:t xml:space="preserve">, con il comma 2-bis, una specifica disposizione che fissa, quale criterio cui la </w:t>
      </w:r>
      <w:proofErr w:type="spellStart"/>
      <w:r w:rsidRPr="002E2431">
        <w:rPr>
          <w:rFonts w:ascii="Verdana" w:eastAsia="Times New Roman" w:hAnsi="Verdana" w:cs="Times New Roman"/>
          <w:color w:val="000000" w:themeColor="text1"/>
          <w:sz w:val="27"/>
          <w:szCs w:val="27"/>
          <w:lang w:eastAsia="it-IT"/>
        </w:rPr>
        <w:t>normazione</w:t>
      </w:r>
      <w:proofErr w:type="spellEnd"/>
      <w:r w:rsidRPr="002E2431">
        <w:rPr>
          <w:rFonts w:ascii="Verdana" w:eastAsia="Times New Roman" w:hAnsi="Verdana" w:cs="Times New Roman"/>
          <w:color w:val="000000" w:themeColor="text1"/>
          <w:sz w:val="27"/>
          <w:szCs w:val="27"/>
          <w:lang w:eastAsia="it-IT"/>
        </w:rPr>
        <w:t xml:space="preserve"> secondaria dovrà attenersi, quello di assicurare ai Comuni la piena accessibilità e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interoperabilità applicativa delle banche dati con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del Territorio, relativamente ai dati catastali, anche al fine di contribuire al miglioramento e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aggiornamento della qualità dei dati stessi.</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Quanto sopra, peraltro, si pone in coerenza con la novellata formulazione del comma 1, che ha previsto, ai fini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avvio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Anagrafe Immobiliare Integrata, idonee forme di collaborazione con i suddetti Enti locali, in linea con le previsioni degli artt. 2 e 3 dello Statuto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Vengono in tal modo assicurate le condizioni per la completa operatività delle banche dati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attraverso un processo graduale di implementazione e di miglioramento dei livelli di correlazione fra i dati.</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Peraltro, nell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ottica di agevolare le Amministrazioni locali nella consultazione delle stesse, il novellato comma 4 prevede che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accesso ai dati sia garantito ai Comuni, sempre a titolo gratuito, attraverso il Sistema telematico, il Portale per i Comuni ed il Sistema di interscambio.</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 </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18C6">
        <w:rPr>
          <w:rFonts w:ascii="Verdana" w:eastAsia="Times New Roman" w:hAnsi="Verdana" w:cs="Times New Roman"/>
          <w:b/>
          <w:bCs/>
          <w:color w:val="000000" w:themeColor="text1"/>
          <w:sz w:val="27"/>
          <w:lang w:eastAsia="it-IT"/>
        </w:rPr>
        <w:t>3.</w:t>
      </w:r>
      <w:r w:rsidRPr="002E2431">
        <w:rPr>
          <w:rFonts w:ascii="Verdana" w:eastAsia="Times New Roman" w:hAnsi="Verdana" w:cs="Times New Roman"/>
          <w:color w:val="000000" w:themeColor="text1"/>
          <w:sz w:val="27"/>
          <w:szCs w:val="27"/>
          <w:lang w:eastAsia="it-IT"/>
        </w:rPr>
        <w:t> </w:t>
      </w:r>
      <w:r w:rsidRPr="00F818C6">
        <w:rPr>
          <w:rFonts w:ascii="Verdana" w:eastAsia="Times New Roman" w:hAnsi="Verdana" w:cs="Times New Roman"/>
          <w:i/>
          <w:iCs/>
          <w:color w:val="000000" w:themeColor="text1"/>
          <w:sz w:val="27"/>
          <w:lang w:eastAsia="it-IT"/>
        </w:rPr>
        <w:t>Fabbricati non dichiarati in catasto.</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Come noto,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w:t>
      </w:r>
      <w:r w:rsidRPr="00F818C6">
        <w:rPr>
          <w:rFonts w:ascii="Verdana" w:eastAsia="Times New Roman" w:hAnsi="Verdana" w:cs="Times New Roman"/>
          <w:i/>
          <w:iCs/>
          <w:color w:val="000000" w:themeColor="text1"/>
          <w:sz w:val="27"/>
          <w:lang w:eastAsia="it-IT"/>
        </w:rPr>
        <w:t> 2, comma 36</w:t>
      </w:r>
      <w:r w:rsidRPr="002E2431">
        <w:rPr>
          <w:rFonts w:ascii="Verdana" w:eastAsia="Times New Roman" w:hAnsi="Verdana" w:cs="Times New Roman"/>
          <w:i/>
          <w:iCs/>
          <w:color w:val="000000" w:themeColor="text1"/>
          <w:sz w:val="27"/>
          <w:szCs w:val="27"/>
          <w:lang w:eastAsia="it-IT"/>
        </w:rPr>
        <w:t>, del</w:t>
      </w:r>
      <w:r w:rsidRPr="00F818C6">
        <w:rPr>
          <w:rFonts w:ascii="Verdana" w:eastAsia="Times New Roman" w:hAnsi="Verdana" w:cs="Times New Roman"/>
          <w:i/>
          <w:iCs/>
          <w:color w:val="000000" w:themeColor="text1"/>
          <w:sz w:val="27"/>
          <w:lang w:eastAsia="it-IT"/>
        </w:rPr>
        <w:t> decreto legge 3 ottobre 2006, n. 262</w:t>
      </w:r>
      <w:r w:rsidRPr="002E2431">
        <w:rPr>
          <w:rFonts w:ascii="Verdana" w:eastAsia="Times New Roman" w:hAnsi="Verdana" w:cs="Times New Roman"/>
          <w:color w:val="000000" w:themeColor="text1"/>
          <w:sz w:val="27"/>
          <w:szCs w:val="27"/>
          <w:lang w:eastAsia="it-IT"/>
        </w:rPr>
        <w:t>, convertito, con modificazioni, dalla</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legge 24 novembre 2006, n. 286</w:t>
      </w:r>
      <w:r w:rsidRPr="002E2431">
        <w:rPr>
          <w:rFonts w:ascii="Verdana" w:eastAsia="Times New Roman" w:hAnsi="Verdana" w:cs="Times New Roman"/>
          <w:color w:val="000000" w:themeColor="text1"/>
          <w:sz w:val="27"/>
          <w:szCs w:val="27"/>
          <w:lang w:eastAsia="it-IT"/>
        </w:rPr>
        <w:t>, come sostituito dall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w:t>
      </w:r>
      <w:r w:rsidRPr="00F818C6">
        <w:rPr>
          <w:rFonts w:ascii="Verdana" w:eastAsia="Times New Roman" w:hAnsi="Verdana" w:cs="Times New Roman"/>
          <w:i/>
          <w:iCs/>
          <w:color w:val="000000" w:themeColor="text1"/>
          <w:sz w:val="27"/>
          <w:lang w:eastAsia="it-IT"/>
        </w:rPr>
        <w:t> 1, comma 339</w:t>
      </w:r>
      <w:r w:rsidRPr="002E2431">
        <w:rPr>
          <w:rFonts w:ascii="Verdana" w:eastAsia="Times New Roman" w:hAnsi="Verdana" w:cs="Times New Roman"/>
          <w:i/>
          <w:iCs/>
          <w:color w:val="000000" w:themeColor="text1"/>
          <w:sz w:val="27"/>
          <w:szCs w:val="27"/>
          <w:lang w:eastAsia="it-IT"/>
        </w:rPr>
        <w:t>, della</w:t>
      </w:r>
      <w:r w:rsidRPr="00F818C6">
        <w:rPr>
          <w:rFonts w:ascii="Verdana" w:eastAsia="Times New Roman" w:hAnsi="Verdana" w:cs="Times New Roman"/>
          <w:i/>
          <w:iCs/>
          <w:color w:val="000000" w:themeColor="text1"/>
          <w:sz w:val="27"/>
          <w:lang w:eastAsia="it-IT"/>
        </w:rPr>
        <w:t> legge 27 dicembre 2006, n. 296</w:t>
      </w:r>
      <w:r w:rsidRPr="002E2431">
        <w:rPr>
          <w:rFonts w:ascii="Verdana" w:eastAsia="Times New Roman" w:hAnsi="Verdana" w:cs="Times New Roman"/>
          <w:color w:val="000000" w:themeColor="text1"/>
          <w:sz w:val="27"/>
          <w:szCs w:val="27"/>
          <w:lang w:eastAsia="it-IT"/>
        </w:rPr>
        <w:t>, e successive modificazioni, prevede - fra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 xml:space="preserve">altro - che </w:t>
      </w:r>
      <w:r w:rsidRPr="002E2431">
        <w:rPr>
          <w:rFonts w:ascii="Verdana" w:eastAsia="Times New Roman" w:hAnsi="Verdana" w:cs="Times New Roman"/>
          <w:color w:val="000000" w:themeColor="text1"/>
          <w:sz w:val="27"/>
          <w:szCs w:val="27"/>
          <w:lang w:eastAsia="it-IT"/>
        </w:rPr>
        <w:lastRenderedPageBreak/>
        <w:t>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del Territorio, anche sulla base delle informazioni fornite dall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per le Erogazioni in Agricoltura (AGEA), proceda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individuazione dei fabbricati non dichiarati in catasto.</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Sulla base di tali disposizioni,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ha condotto, una attività di indagine che, negli anni 2007, 2008 e 2009, ha interessato tutto il territorio nazionale, ad esclusione delle Province autonome di Trento e Bolzano ed ha consentito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 xml:space="preserve">individuazione dei fabbricati non dichiarati in catasto, attraverso procedure avanzate di confronto tra le </w:t>
      </w:r>
      <w:proofErr w:type="spellStart"/>
      <w:r w:rsidRPr="002E2431">
        <w:rPr>
          <w:rFonts w:ascii="Verdana" w:eastAsia="Times New Roman" w:hAnsi="Verdana" w:cs="Times New Roman"/>
          <w:color w:val="000000" w:themeColor="text1"/>
          <w:sz w:val="27"/>
          <w:szCs w:val="27"/>
          <w:lang w:eastAsia="it-IT"/>
        </w:rPr>
        <w:t>ortofoto</w:t>
      </w:r>
      <w:proofErr w:type="spellEnd"/>
      <w:r w:rsidRPr="002E2431">
        <w:rPr>
          <w:rFonts w:ascii="Verdana" w:eastAsia="Times New Roman" w:hAnsi="Verdana" w:cs="Times New Roman"/>
          <w:color w:val="000000" w:themeColor="text1"/>
          <w:sz w:val="27"/>
          <w:szCs w:val="27"/>
          <w:lang w:eastAsia="it-IT"/>
        </w:rPr>
        <w:t xml:space="preserve"> digitali ad alta risoluzione e la cartografia catastale.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Il</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comma 7, art. 19</w:t>
      </w:r>
      <w:r w:rsidRPr="002E2431">
        <w:rPr>
          <w:rFonts w:ascii="Verdana" w:eastAsia="Times New Roman" w:hAnsi="Verdana" w:cs="Times New Roman"/>
          <w:i/>
          <w:iCs/>
          <w:color w:val="000000" w:themeColor="text1"/>
          <w:sz w:val="27"/>
          <w:szCs w:val="27"/>
          <w:lang w:eastAsia="it-IT"/>
        </w:rPr>
        <w:t>, del</w:t>
      </w:r>
      <w:r w:rsidRPr="00F818C6">
        <w:rPr>
          <w:rFonts w:ascii="Verdana" w:eastAsia="Times New Roman" w:hAnsi="Verdana" w:cs="Times New Roman"/>
          <w:i/>
          <w:iCs/>
          <w:color w:val="000000" w:themeColor="text1"/>
          <w:sz w:val="27"/>
          <w:lang w:eastAsia="it-IT"/>
        </w:rPr>
        <w:t> decreto legge n. 78 del 2010</w:t>
      </w:r>
      <w:r w:rsidRPr="00F818C6">
        <w:rPr>
          <w:rFonts w:ascii="Verdana" w:eastAsia="Times New Roman" w:hAnsi="Verdana" w:cs="Times New Roman"/>
          <w:color w:val="000000" w:themeColor="text1"/>
          <w:sz w:val="27"/>
          <w:lang w:eastAsia="it-IT"/>
        </w:rPr>
        <w:t> </w:t>
      </w:r>
      <w:r w:rsidRPr="002E2431">
        <w:rPr>
          <w:rFonts w:ascii="Verdana" w:eastAsia="Times New Roman" w:hAnsi="Verdana" w:cs="Times New Roman"/>
          <w:color w:val="000000" w:themeColor="text1"/>
          <w:sz w:val="27"/>
          <w:szCs w:val="27"/>
          <w:lang w:eastAsia="it-IT"/>
        </w:rPr>
        <w:t>prevede la conclusione di detta attività entro il 30 settembre 2010, per quei Comuni per i quali le relative operazioni non sono state ancora completate.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 xml:space="preserve">Il successivo comma 8, inoltre, ha differito al 31 dicembre 2010 il termine entro cui i titolari di diritti reali sugli immobili già oggetto di pubblicazione in Gazzetta Ufficiale, sono tenuti a procedere alla presentazione, ai fini fiscali, della relativa dichiarazione di aggiornamento catastale. Per favorire i controlli di conformità </w:t>
      </w:r>
      <w:proofErr w:type="spellStart"/>
      <w:r w:rsidRPr="002E2431">
        <w:rPr>
          <w:rFonts w:ascii="Verdana" w:eastAsia="Times New Roman" w:hAnsi="Verdana" w:cs="Times New Roman"/>
          <w:color w:val="000000" w:themeColor="text1"/>
          <w:sz w:val="27"/>
          <w:szCs w:val="27"/>
          <w:lang w:eastAsia="it-IT"/>
        </w:rPr>
        <w:t>urbanistico-edilizia</w:t>
      </w:r>
      <w:proofErr w:type="spellEnd"/>
      <w:r w:rsidRPr="002E2431">
        <w:rPr>
          <w:rFonts w:ascii="Verdana" w:eastAsia="Times New Roman" w:hAnsi="Verdana" w:cs="Times New Roman"/>
          <w:color w:val="000000" w:themeColor="text1"/>
          <w:sz w:val="27"/>
          <w:szCs w:val="27"/>
          <w:lang w:eastAsia="it-IT"/>
        </w:rPr>
        <w:t>, viene inoltre stabilito che, successivamente alla registrazione delle dichiarazioni di cui sopra,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provveda a renderle disponibili agli Enti locali attraverso il Portale per i Comuni.</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In caso di inadempimento da parte dei soggetti obbligati entro il nuovo termine previsto,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nelle more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iscrizione definitiva in catasto attraverso la predisposizione delle dichiarazioni Docfa "... procede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attribuzione... di una rendita presunta, da iscrivere transitoriamente in catasto, anche sulla base degli elementi tecnici forniti dai Comuni." La disposizione prevede, altresì, che, per tali operazioni,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possa stipulare apposite convenzioni con gli Organismi rappresentativi delle categorie professionali.</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In questo contesto, il novellato</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comma 10, art. 19</w:t>
      </w:r>
      <w:r w:rsidRPr="002E2431">
        <w:rPr>
          <w:rFonts w:ascii="Verdana" w:eastAsia="Times New Roman" w:hAnsi="Verdana" w:cs="Times New Roman"/>
          <w:i/>
          <w:iCs/>
          <w:color w:val="000000" w:themeColor="text1"/>
          <w:sz w:val="27"/>
          <w:szCs w:val="27"/>
          <w:lang w:eastAsia="it-IT"/>
        </w:rPr>
        <w:t>, del</w:t>
      </w:r>
      <w:r w:rsidRPr="00F818C6">
        <w:rPr>
          <w:rFonts w:ascii="Verdana" w:eastAsia="Times New Roman" w:hAnsi="Verdana" w:cs="Times New Roman"/>
          <w:i/>
          <w:iCs/>
          <w:color w:val="000000" w:themeColor="text1"/>
          <w:sz w:val="27"/>
          <w:lang w:eastAsia="it-IT"/>
        </w:rPr>
        <w:t> decreto legge n. 78 del 2010</w:t>
      </w:r>
      <w:r w:rsidRPr="00F818C6">
        <w:rPr>
          <w:rFonts w:ascii="Verdana" w:eastAsia="Times New Roman" w:hAnsi="Verdana" w:cs="Times New Roman"/>
          <w:color w:val="000000" w:themeColor="text1"/>
          <w:sz w:val="27"/>
          <w:lang w:eastAsia="it-IT"/>
        </w:rPr>
        <w:t> </w:t>
      </w:r>
      <w:r w:rsidRPr="002E2431">
        <w:rPr>
          <w:rFonts w:ascii="Verdana" w:eastAsia="Times New Roman" w:hAnsi="Verdana" w:cs="Times New Roman"/>
          <w:color w:val="000000" w:themeColor="text1"/>
          <w:sz w:val="27"/>
          <w:szCs w:val="27"/>
          <w:lang w:eastAsia="it-IT"/>
        </w:rPr>
        <w:t>precisa che dette attività, se il soggetto obbligato non provveda nei termini prescritti, sono svolte d</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ufficio dalle strutture territoriali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con oneri da determinare con apposito provvedimento direttoriale, a carico del soggetto medesimo,</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Analogamente a quanto disposto per gli immobili mai dichiarati in catasto, il comma 9 del</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decreto legge n. 78 del 2010</w:t>
      </w:r>
      <w:r w:rsidRPr="00F818C6">
        <w:rPr>
          <w:rFonts w:ascii="Verdana" w:eastAsia="Times New Roman" w:hAnsi="Verdana" w:cs="Times New Roman"/>
          <w:color w:val="000000" w:themeColor="text1"/>
          <w:sz w:val="27"/>
          <w:lang w:eastAsia="it-IT"/>
        </w:rPr>
        <w:t> </w:t>
      </w:r>
      <w:r w:rsidRPr="002E2431">
        <w:rPr>
          <w:rFonts w:ascii="Verdana" w:eastAsia="Times New Roman" w:hAnsi="Verdana" w:cs="Times New Roman"/>
          <w:color w:val="000000" w:themeColor="text1"/>
          <w:sz w:val="27"/>
          <w:szCs w:val="27"/>
          <w:lang w:eastAsia="it-IT"/>
        </w:rPr>
        <w:t>prevede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 xml:space="preserve">obbligo della presentazione dei relativi atti di aggiornamento, entro lo stesso termine differito del 31 dicembre 2010, anche per gli immobili oggetto </w:t>
      </w:r>
      <w:r w:rsidRPr="002E2431">
        <w:rPr>
          <w:rFonts w:ascii="Verdana" w:eastAsia="Times New Roman" w:hAnsi="Verdana" w:cs="Times New Roman"/>
          <w:color w:val="000000" w:themeColor="text1"/>
          <w:sz w:val="27"/>
          <w:szCs w:val="27"/>
          <w:lang w:eastAsia="it-IT"/>
        </w:rPr>
        <w:lastRenderedPageBreak/>
        <w:t>di interventi edilizi che abbiano determinato variazioni non dichiarate di consistenza o di destinazione.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La legge di conversione,</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L. n. 122 del 2010</w:t>
      </w:r>
      <w:r w:rsidRPr="00F818C6">
        <w:rPr>
          <w:rFonts w:ascii="Verdana" w:eastAsia="Times New Roman" w:hAnsi="Verdana" w:cs="Times New Roman"/>
          <w:color w:val="000000" w:themeColor="text1"/>
          <w:sz w:val="27"/>
          <w:lang w:eastAsia="it-IT"/>
        </w:rPr>
        <w:t> </w:t>
      </w:r>
      <w:r w:rsidRPr="002E2431">
        <w:rPr>
          <w:rFonts w:ascii="Verdana" w:eastAsia="Times New Roman" w:hAnsi="Verdana" w:cs="Times New Roman"/>
          <w:color w:val="000000" w:themeColor="text1"/>
          <w:sz w:val="27"/>
          <w:szCs w:val="27"/>
          <w:lang w:eastAsia="it-IT"/>
        </w:rPr>
        <w:t>ha inoltre aggiunto un ultimo periodo a detto comma 9, facendo espressamente "... salve le procedure previste dal comma 336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w:t>
      </w:r>
      <w:r w:rsidRPr="00F818C6">
        <w:rPr>
          <w:rFonts w:ascii="Verdana" w:eastAsia="Times New Roman" w:hAnsi="Verdana" w:cs="Times New Roman"/>
          <w:i/>
          <w:iCs/>
          <w:color w:val="000000" w:themeColor="text1"/>
          <w:sz w:val="27"/>
          <w:lang w:eastAsia="it-IT"/>
        </w:rPr>
        <w:t> 1 </w:t>
      </w:r>
      <w:r w:rsidRPr="002E2431">
        <w:rPr>
          <w:rFonts w:ascii="Verdana" w:eastAsia="Times New Roman" w:hAnsi="Verdana" w:cs="Times New Roman"/>
          <w:i/>
          <w:iCs/>
          <w:color w:val="000000" w:themeColor="text1"/>
          <w:sz w:val="27"/>
          <w:szCs w:val="27"/>
          <w:lang w:eastAsia="it-IT"/>
        </w:rPr>
        <w:t>della</w:t>
      </w:r>
      <w:r w:rsidRPr="00F818C6">
        <w:rPr>
          <w:rFonts w:ascii="Verdana" w:eastAsia="Times New Roman" w:hAnsi="Verdana" w:cs="Times New Roman"/>
          <w:i/>
          <w:iCs/>
          <w:color w:val="000000" w:themeColor="text1"/>
          <w:sz w:val="27"/>
          <w:lang w:eastAsia="it-IT"/>
        </w:rPr>
        <w:t> legge 30 dicembre 2004, n. 311</w:t>
      </w:r>
      <w:r w:rsidRPr="002E2431">
        <w:rPr>
          <w:rFonts w:ascii="Verdana" w:eastAsia="Times New Roman" w:hAnsi="Verdana" w:cs="Times New Roman"/>
          <w:color w:val="000000" w:themeColor="text1"/>
          <w:sz w:val="27"/>
          <w:szCs w:val="27"/>
          <w:lang w:eastAsia="it-IT"/>
        </w:rPr>
        <w:t>, nonché le attività da svolgere in surroga da parte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del territorio per i fabbricati rurali per i quali siano venuti meno i requisiti per il riconoscimento della ruralità ai fini fiscali... nonché quelle di accertamento relative agli immobili iscritti in catasto, come fabbricati o loro porzioni, in corso di costruzione o di definizione, che siano divenuti abitabili o servibili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uso cui sono destinati".</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 xml:space="preserve">Pertanto gli Uffici devono garantire la regolare prosecuzione delle attività </w:t>
      </w:r>
      <w:proofErr w:type="spellStart"/>
      <w:r w:rsidRPr="002E2431">
        <w:rPr>
          <w:rFonts w:ascii="Verdana" w:eastAsia="Times New Roman" w:hAnsi="Verdana" w:cs="Times New Roman"/>
          <w:color w:val="000000" w:themeColor="text1"/>
          <w:sz w:val="27"/>
          <w:szCs w:val="27"/>
          <w:lang w:eastAsia="it-IT"/>
        </w:rPr>
        <w:t>accertative</w:t>
      </w:r>
      <w:proofErr w:type="spellEnd"/>
      <w:r w:rsidRPr="002E2431">
        <w:rPr>
          <w:rFonts w:ascii="Verdana" w:eastAsia="Times New Roman" w:hAnsi="Verdana" w:cs="Times New Roman"/>
          <w:color w:val="000000" w:themeColor="text1"/>
          <w:sz w:val="27"/>
          <w:szCs w:val="27"/>
          <w:lang w:eastAsia="it-IT"/>
        </w:rPr>
        <w:t xml:space="preserve"> relativamente alle fattispecie sopra indicate, fermo restando il prosieguo di quelle già previste ad "alta valenza fiscale".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Ai sensi del comma 11, qualora, nelle fattispecie richiamate dal comma 9, i soggetti obbligati non ottemperino agli adempimenti previsti, la scrivente procede agli accertamenti di competenza con la collaborazione dei Comuni e con facoltà di stipulare, anche per tali operazioni, apposite convenzioni con gli Ordini professionali.</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In tale contesto il legislatore dispone che, a decorrere dal 1° gennaio 2011,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attui un periodico e costante monitoraggio del territorio, sempre in collaborazione con gli Enti locali.</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Come previsto dall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art. 18, comma 3, le forme di collaborazione dei Comuni con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ai fini del monitoraggio degli immobili non accatastati, sono deliberate dai Consigli Tributari, in occasione della loro prima seduta successiva alla data di entrata in vigore del</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decreto legge n. 78 del 2010</w:t>
      </w:r>
      <w:r w:rsidRPr="002E2431">
        <w:rPr>
          <w:rFonts w:ascii="Verdana" w:eastAsia="Times New Roman" w:hAnsi="Verdana" w:cs="Times New Roman"/>
          <w:color w:val="000000" w:themeColor="text1"/>
          <w:sz w:val="27"/>
          <w:szCs w:val="27"/>
          <w:lang w:eastAsia="it-IT"/>
        </w:rPr>
        <w:t>.</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Tale collaborazione è finalizzata, in particolare,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individuazione di quei fabbricati che non risultino dichiarati in catasto, mediante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utilizzazione delle procedure di cui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w:t>
      </w:r>
      <w:r w:rsidRPr="00F818C6">
        <w:rPr>
          <w:rFonts w:ascii="Verdana" w:eastAsia="Times New Roman" w:hAnsi="Verdana" w:cs="Times New Roman"/>
          <w:i/>
          <w:iCs/>
          <w:color w:val="000000" w:themeColor="text1"/>
          <w:sz w:val="27"/>
          <w:lang w:eastAsia="it-IT"/>
        </w:rPr>
        <w:t> 2, comma 36</w:t>
      </w:r>
      <w:r w:rsidRPr="002E2431">
        <w:rPr>
          <w:rFonts w:ascii="Verdana" w:eastAsia="Times New Roman" w:hAnsi="Verdana" w:cs="Times New Roman"/>
          <w:i/>
          <w:iCs/>
          <w:color w:val="000000" w:themeColor="text1"/>
          <w:sz w:val="27"/>
          <w:szCs w:val="27"/>
          <w:lang w:eastAsia="it-IT"/>
        </w:rPr>
        <w:t>, del</w:t>
      </w:r>
      <w:r w:rsidRPr="00F818C6">
        <w:rPr>
          <w:rFonts w:ascii="Verdana" w:eastAsia="Times New Roman" w:hAnsi="Verdana" w:cs="Times New Roman"/>
          <w:i/>
          <w:iCs/>
          <w:color w:val="000000" w:themeColor="text1"/>
          <w:sz w:val="27"/>
          <w:lang w:eastAsia="it-IT"/>
        </w:rPr>
        <w:t> decreto legge n. 262 del 2006</w:t>
      </w:r>
      <w:r w:rsidRPr="002E2431">
        <w:rPr>
          <w:rFonts w:ascii="Verdana" w:eastAsia="Times New Roman" w:hAnsi="Verdana" w:cs="Times New Roman"/>
          <w:color w:val="000000" w:themeColor="text1"/>
          <w:sz w:val="27"/>
          <w:szCs w:val="27"/>
          <w:lang w:eastAsia="it-IT"/>
        </w:rPr>
        <w:t>, richiamate dal comma 12 del</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decreto legge n. 78 del 2010</w:t>
      </w:r>
      <w:r w:rsidRPr="002E2431">
        <w:rPr>
          <w:rFonts w:ascii="Verdana" w:eastAsia="Times New Roman" w:hAnsi="Verdana" w:cs="Times New Roman"/>
          <w:color w:val="000000" w:themeColor="text1"/>
          <w:sz w:val="27"/>
          <w:szCs w:val="27"/>
          <w:lang w:eastAsia="it-IT"/>
        </w:rPr>
        <w:t>.</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Da ultimo si evidenzia che il novellato comma 12 fa salve le procedure previste dal comma 336,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w:t>
      </w:r>
      <w:r w:rsidRPr="00F818C6">
        <w:rPr>
          <w:rFonts w:ascii="Verdana" w:eastAsia="Times New Roman" w:hAnsi="Verdana" w:cs="Times New Roman"/>
          <w:i/>
          <w:iCs/>
          <w:color w:val="000000" w:themeColor="text1"/>
          <w:sz w:val="27"/>
          <w:lang w:eastAsia="it-IT"/>
        </w:rPr>
        <w:t> 1 </w:t>
      </w:r>
      <w:r w:rsidRPr="002E2431">
        <w:rPr>
          <w:rFonts w:ascii="Verdana" w:eastAsia="Times New Roman" w:hAnsi="Verdana" w:cs="Times New Roman"/>
          <w:i/>
          <w:iCs/>
          <w:color w:val="000000" w:themeColor="text1"/>
          <w:sz w:val="27"/>
          <w:szCs w:val="27"/>
          <w:lang w:eastAsia="it-IT"/>
        </w:rPr>
        <w:t>della</w:t>
      </w:r>
      <w:r w:rsidRPr="00F818C6">
        <w:rPr>
          <w:rFonts w:ascii="Verdana" w:eastAsia="Times New Roman" w:hAnsi="Verdana" w:cs="Times New Roman"/>
          <w:i/>
          <w:iCs/>
          <w:color w:val="000000" w:themeColor="text1"/>
          <w:sz w:val="27"/>
          <w:lang w:eastAsia="it-IT"/>
        </w:rPr>
        <w:t> legge n. 311 del 2004</w:t>
      </w:r>
      <w:r w:rsidRPr="002E2431">
        <w:rPr>
          <w:rFonts w:ascii="Verdana" w:eastAsia="Times New Roman" w:hAnsi="Verdana" w:cs="Times New Roman"/>
          <w:color w:val="000000" w:themeColor="text1"/>
          <w:sz w:val="27"/>
          <w:szCs w:val="27"/>
          <w:lang w:eastAsia="it-IT"/>
        </w:rPr>
        <w:t>, anche per le attività di accertamento che verranno attivate dal 1° gennaio 2011.</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lastRenderedPageBreak/>
        <w:t> </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18C6">
        <w:rPr>
          <w:rFonts w:ascii="Verdana" w:eastAsia="Times New Roman" w:hAnsi="Verdana" w:cs="Times New Roman"/>
          <w:b/>
          <w:bCs/>
          <w:color w:val="000000" w:themeColor="text1"/>
          <w:sz w:val="27"/>
          <w:lang w:eastAsia="it-IT"/>
        </w:rPr>
        <w:t>4.</w:t>
      </w:r>
      <w:r w:rsidRPr="002E2431">
        <w:rPr>
          <w:rFonts w:ascii="Verdana" w:eastAsia="Times New Roman" w:hAnsi="Verdana" w:cs="Times New Roman"/>
          <w:color w:val="000000" w:themeColor="text1"/>
          <w:sz w:val="27"/>
          <w:szCs w:val="27"/>
          <w:lang w:eastAsia="it-IT"/>
        </w:rPr>
        <w:t> </w:t>
      </w:r>
      <w:r w:rsidRPr="00F818C6">
        <w:rPr>
          <w:rFonts w:ascii="Verdana" w:eastAsia="Times New Roman" w:hAnsi="Verdana" w:cs="Times New Roman"/>
          <w:i/>
          <w:iCs/>
          <w:color w:val="000000" w:themeColor="text1"/>
          <w:sz w:val="27"/>
          <w:lang w:eastAsia="it-IT"/>
        </w:rPr>
        <w:t>Poteri istruttori degli Uffici.</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Fra le novità introdotte dall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w:t>
      </w:r>
      <w:r w:rsidRPr="00F818C6">
        <w:rPr>
          <w:rFonts w:ascii="Verdana" w:eastAsia="Times New Roman" w:hAnsi="Verdana" w:cs="Times New Roman"/>
          <w:i/>
          <w:iCs/>
          <w:color w:val="000000" w:themeColor="text1"/>
          <w:sz w:val="27"/>
          <w:lang w:eastAsia="it-IT"/>
        </w:rPr>
        <w:t> 19 </w:t>
      </w:r>
      <w:r w:rsidRPr="002E2431">
        <w:rPr>
          <w:rFonts w:ascii="Verdana" w:eastAsia="Times New Roman" w:hAnsi="Verdana" w:cs="Times New Roman"/>
          <w:i/>
          <w:iCs/>
          <w:color w:val="000000" w:themeColor="text1"/>
          <w:sz w:val="27"/>
          <w:szCs w:val="27"/>
          <w:lang w:eastAsia="it-IT"/>
        </w:rPr>
        <w:t>del</w:t>
      </w:r>
      <w:r w:rsidRPr="00F818C6">
        <w:rPr>
          <w:rFonts w:ascii="Verdana" w:eastAsia="Times New Roman" w:hAnsi="Verdana" w:cs="Times New Roman"/>
          <w:i/>
          <w:iCs/>
          <w:color w:val="000000" w:themeColor="text1"/>
          <w:sz w:val="27"/>
          <w:lang w:eastAsia="it-IT"/>
        </w:rPr>
        <w:t> decreto legge n. 78 del 2010</w:t>
      </w:r>
      <w:r w:rsidRPr="002E2431">
        <w:rPr>
          <w:rFonts w:ascii="Verdana" w:eastAsia="Times New Roman" w:hAnsi="Verdana" w:cs="Times New Roman"/>
          <w:color w:val="000000" w:themeColor="text1"/>
          <w:sz w:val="27"/>
          <w:szCs w:val="27"/>
          <w:lang w:eastAsia="it-IT"/>
        </w:rPr>
        <w:t>, si segnalano, per il rilievo e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incidenza delle stesse sull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attività degli Uffici Provinciali, le disposizioni del comma 13, il quale prevede che "gli Uffici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del Territorio, per lo svolgimento delle attività istruttorie connesse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accertamento catastale, si avvalgono delle attribuzioni e dei poteri di cui agli</w:t>
      </w:r>
      <w:r w:rsidRPr="00F818C6">
        <w:rPr>
          <w:rFonts w:ascii="Verdana" w:eastAsia="Times New Roman" w:hAnsi="Verdana" w:cs="Times New Roman"/>
          <w:color w:val="000000" w:themeColor="text1"/>
          <w:sz w:val="27"/>
          <w:lang w:eastAsia="it-IT"/>
        </w:rPr>
        <w:t> </w:t>
      </w:r>
      <w:r w:rsidRPr="002E2431">
        <w:rPr>
          <w:rFonts w:ascii="Verdana" w:eastAsia="Times New Roman" w:hAnsi="Verdana" w:cs="Times New Roman"/>
          <w:i/>
          <w:iCs/>
          <w:color w:val="000000" w:themeColor="text1"/>
          <w:sz w:val="27"/>
          <w:szCs w:val="27"/>
          <w:lang w:eastAsia="it-IT"/>
        </w:rPr>
        <w:t>articoli</w:t>
      </w:r>
      <w:r w:rsidRPr="00F818C6">
        <w:rPr>
          <w:rFonts w:ascii="Verdana" w:eastAsia="Times New Roman" w:hAnsi="Verdana" w:cs="Times New Roman"/>
          <w:i/>
          <w:iCs/>
          <w:color w:val="000000" w:themeColor="text1"/>
          <w:sz w:val="27"/>
          <w:lang w:eastAsia="it-IT"/>
        </w:rPr>
        <w:t> 51 </w:t>
      </w:r>
      <w:r w:rsidRPr="002E2431">
        <w:rPr>
          <w:rFonts w:ascii="Verdana" w:eastAsia="Times New Roman" w:hAnsi="Verdana" w:cs="Times New Roman"/>
          <w:i/>
          <w:iCs/>
          <w:color w:val="000000" w:themeColor="text1"/>
          <w:sz w:val="27"/>
          <w:szCs w:val="27"/>
          <w:lang w:eastAsia="it-IT"/>
        </w:rPr>
        <w:t>e</w:t>
      </w:r>
      <w:r w:rsidRPr="00F818C6">
        <w:rPr>
          <w:rFonts w:ascii="Verdana" w:eastAsia="Times New Roman" w:hAnsi="Verdana" w:cs="Times New Roman"/>
          <w:i/>
          <w:iCs/>
          <w:color w:val="000000" w:themeColor="text1"/>
          <w:sz w:val="27"/>
          <w:lang w:eastAsia="it-IT"/>
        </w:rPr>
        <w:t> 52 </w:t>
      </w:r>
      <w:r w:rsidRPr="002E2431">
        <w:rPr>
          <w:rFonts w:ascii="Verdana" w:eastAsia="Times New Roman" w:hAnsi="Verdana" w:cs="Times New Roman"/>
          <w:i/>
          <w:iCs/>
          <w:color w:val="000000" w:themeColor="text1"/>
          <w:sz w:val="27"/>
          <w:szCs w:val="27"/>
          <w:lang w:eastAsia="it-IT"/>
        </w:rPr>
        <w:t>del</w:t>
      </w:r>
      <w:r w:rsidRPr="00F818C6">
        <w:rPr>
          <w:rFonts w:ascii="Verdana" w:eastAsia="Times New Roman" w:hAnsi="Verdana" w:cs="Times New Roman"/>
          <w:i/>
          <w:iCs/>
          <w:color w:val="000000" w:themeColor="text1"/>
          <w:sz w:val="27"/>
          <w:lang w:eastAsia="it-IT"/>
        </w:rPr>
        <w:t> decreto del Presidente della Repubblica 26 ottobre 1972, n. 633</w:t>
      </w:r>
      <w:r w:rsidRPr="002E2431">
        <w:rPr>
          <w:rFonts w:ascii="Verdana" w:eastAsia="Times New Roman" w:hAnsi="Verdana" w:cs="Times New Roman"/>
          <w:color w:val="000000" w:themeColor="text1"/>
          <w:sz w:val="27"/>
          <w:szCs w:val="27"/>
          <w:lang w:eastAsia="it-IT"/>
        </w:rPr>
        <w:t>".</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La norma estende pertanto agli Uffici, ai fini delle attività connesse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accertamento catastale, i poteri istruttori previsti dall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articolo</w:t>
      </w:r>
      <w:r w:rsidRPr="00F818C6">
        <w:rPr>
          <w:rFonts w:ascii="Verdana" w:eastAsia="Times New Roman" w:hAnsi="Verdana" w:cs="Times New Roman"/>
          <w:i/>
          <w:iCs/>
          <w:color w:val="000000" w:themeColor="text1"/>
          <w:sz w:val="27"/>
          <w:lang w:eastAsia="it-IT"/>
        </w:rPr>
        <w:t> 51 </w:t>
      </w:r>
      <w:r w:rsidRPr="002E2431">
        <w:rPr>
          <w:rFonts w:ascii="Verdana" w:eastAsia="Times New Roman" w:hAnsi="Verdana" w:cs="Times New Roman"/>
          <w:i/>
          <w:iCs/>
          <w:color w:val="000000" w:themeColor="text1"/>
          <w:sz w:val="27"/>
          <w:szCs w:val="27"/>
          <w:lang w:eastAsia="it-IT"/>
        </w:rPr>
        <w:t>del</w:t>
      </w:r>
      <w:r w:rsidRPr="00F818C6">
        <w:rPr>
          <w:rFonts w:ascii="Verdana" w:eastAsia="Times New Roman" w:hAnsi="Verdana" w:cs="Times New Roman"/>
          <w:i/>
          <w:iCs/>
          <w:color w:val="000000" w:themeColor="text1"/>
          <w:sz w:val="27"/>
          <w:lang w:eastAsia="it-IT"/>
        </w:rPr>
        <w:t> decreto del Presidente della Repubblica n. 633 del 1972</w:t>
      </w:r>
      <w:r w:rsidRPr="002E2431">
        <w:rPr>
          <w:rFonts w:ascii="Verdana" w:eastAsia="Times New Roman" w:hAnsi="Verdana" w:cs="Times New Roman"/>
          <w:color w:val="000000" w:themeColor="text1"/>
          <w:sz w:val="27"/>
          <w:szCs w:val="27"/>
          <w:lang w:eastAsia="it-IT"/>
        </w:rPr>
        <w:t>, nonché quelli, in materia di accessi, ispezioni e verifiche, disciplinati dall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articolo 52 del medesimo decreto. Ciò, al fine di consentire di recuperare base imponibile nel settore fiscale immobiliare.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Il ruolo sempre più centrale e incisivo del classamento catastale nell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ambito della fiscalità immobiliare rende infatti necessario attribuire agli uffici strumenti normativi idonei per rendere più efficaci le attività di accertamento catastale demandate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Agenzia, nell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ottica del contrasto a fenomeni di evasione ed elusione fiscale.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In materia, peraltro, mantengono persistente rilievo anche le previsioni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w:t>
      </w:r>
      <w:r w:rsidRPr="00F818C6">
        <w:rPr>
          <w:rFonts w:ascii="Verdana" w:eastAsia="Times New Roman" w:hAnsi="Verdana" w:cs="Times New Roman"/>
          <w:i/>
          <w:iCs/>
          <w:color w:val="000000" w:themeColor="text1"/>
          <w:sz w:val="27"/>
          <w:lang w:eastAsia="it-IT"/>
        </w:rPr>
        <w:t> 12 </w:t>
      </w:r>
      <w:r w:rsidRPr="002E2431">
        <w:rPr>
          <w:rFonts w:ascii="Verdana" w:eastAsia="Times New Roman" w:hAnsi="Verdana" w:cs="Times New Roman"/>
          <w:i/>
          <w:iCs/>
          <w:color w:val="000000" w:themeColor="text1"/>
          <w:sz w:val="27"/>
          <w:szCs w:val="27"/>
          <w:lang w:eastAsia="it-IT"/>
        </w:rPr>
        <w:t>della</w:t>
      </w:r>
      <w:r w:rsidRPr="00F818C6">
        <w:rPr>
          <w:rFonts w:ascii="Verdana" w:eastAsia="Times New Roman" w:hAnsi="Verdana" w:cs="Times New Roman"/>
          <w:i/>
          <w:iCs/>
          <w:color w:val="000000" w:themeColor="text1"/>
          <w:sz w:val="27"/>
          <w:lang w:eastAsia="it-IT"/>
        </w:rPr>
        <w:t> legge 27 luglio 2000, n. 212</w:t>
      </w:r>
      <w:r w:rsidRPr="00F818C6">
        <w:rPr>
          <w:rFonts w:ascii="Verdana" w:eastAsia="Times New Roman" w:hAnsi="Verdana" w:cs="Times New Roman"/>
          <w:color w:val="000000" w:themeColor="text1"/>
          <w:sz w:val="27"/>
          <w:lang w:eastAsia="it-IT"/>
        </w:rPr>
        <w:t> </w:t>
      </w:r>
      <w:r w:rsidRPr="002E2431">
        <w:rPr>
          <w:rFonts w:ascii="Verdana" w:eastAsia="Times New Roman" w:hAnsi="Verdana" w:cs="Times New Roman"/>
          <w:color w:val="000000" w:themeColor="text1"/>
          <w:sz w:val="27"/>
          <w:szCs w:val="27"/>
          <w:lang w:eastAsia="it-IT"/>
        </w:rPr>
        <w:t>(ed. Statuto del contribuente), che detta peculiari disposizioni in tema di diritti e garanzie del contribuente.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Per quanto concerne tali profili, in considerazione delle delicate problematiche ad essi connesse, si fa riserva di fornire specifici chiarimenti in ordine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ambito e alla portata applicativa dei predetti istituti, nonché di diramare apposite indicazioni operative sulle regole per lo svolgimento delle correlate attività.</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 </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818C6">
        <w:rPr>
          <w:rFonts w:ascii="Verdana" w:eastAsia="Times New Roman" w:hAnsi="Verdana" w:cs="Times New Roman"/>
          <w:b/>
          <w:bCs/>
          <w:color w:val="000000" w:themeColor="text1"/>
          <w:sz w:val="27"/>
          <w:lang w:eastAsia="it-IT"/>
        </w:rPr>
        <w:t>5.</w:t>
      </w:r>
      <w:r w:rsidRPr="002E2431">
        <w:rPr>
          <w:rFonts w:ascii="Verdana" w:eastAsia="Times New Roman" w:hAnsi="Verdana" w:cs="Times New Roman"/>
          <w:color w:val="000000" w:themeColor="text1"/>
          <w:sz w:val="27"/>
          <w:szCs w:val="27"/>
          <w:lang w:eastAsia="it-IT"/>
        </w:rPr>
        <w:t> </w:t>
      </w:r>
      <w:r w:rsidRPr="00F818C6">
        <w:rPr>
          <w:rFonts w:ascii="Verdana" w:eastAsia="Times New Roman" w:hAnsi="Verdana" w:cs="Times New Roman"/>
          <w:i/>
          <w:iCs/>
          <w:color w:val="000000" w:themeColor="text1"/>
          <w:sz w:val="27"/>
          <w:lang w:eastAsia="it-IT"/>
        </w:rPr>
        <w:t>Le modifiche introdotte all</w:t>
      </w:r>
      <w:r w:rsidR="00F818C6" w:rsidRPr="00F818C6">
        <w:rPr>
          <w:rFonts w:ascii="Verdana" w:eastAsia="Times New Roman" w:hAnsi="Verdana" w:cs="Times New Roman"/>
          <w:i/>
          <w:iCs/>
          <w:color w:val="000000" w:themeColor="text1"/>
          <w:sz w:val="27"/>
          <w:lang w:eastAsia="it-IT"/>
        </w:rPr>
        <w:t>’</w:t>
      </w:r>
      <w:r w:rsidRPr="00F818C6">
        <w:rPr>
          <w:rFonts w:ascii="Verdana" w:eastAsia="Times New Roman" w:hAnsi="Verdana" w:cs="Times New Roman"/>
          <w:i/>
          <w:iCs/>
          <w:color w:val="000000" w:themeColor="text1"/>
          <w:sz w:val="27"/>
          <w:lang w:eastAsia="it-IT"/>
        </w:rPr>
        <w:t>art. 19, comma 14, del decreto legge n. 78 del 2010 dalla legge di conversione, L. n. 122 del 2010 - Adempimenti previsti.</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lastRenderedPageBreak/>
        <w:t>La legge di conversione,</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L. n. 122 del 2010</w:t>
      </w:r>
      <w:r w:rsidRPr="00F818C6">
        <w:rPr>
          <w:rFonts w:ascii="Verdana" w:eastAsia="Times New Roman" w:hAnsi="Verdana" w:cs="Times New Roman"/>
          <w:color w:val="000000" w:themeColor="text1"/>
          <w:sz w:val="27"/>
          <w:lang w:eastAsia="it-IT"/>
        </w:rPr>
        <w:t> </w:t>
      </w:r>
      <w:r w:rsidRPr="002E2431">
        <w:rPr>
          <w:rFonts w:ascii="Verdana" w:eastAsia="Times New Roman" w:hAnsi="Verdana" w:cs="Times New Roman"/>
          <w:color w:val="000000" w:themeColor="text1"/>
          <w:sz w:val="27"/>
          <w:szCs w:val="27"/>
          <w:lang w:eastAsia="it-IT"/>
        </w:rPr>
        <w:t>ha apportato modificazioni anche al comma 14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art. 19, con riferimento agli adempimenti da porre in essere in sede di stipula di atti pubblici e di scritture private autenticate tra vivi, aventi ad oggetto il trasferimento, la costituzione o lo scioglimento di comunione di diritti reali su fabbricati già esistenti.</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Le novità si innestano nell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intervento normativo che ha introdotto il comma 1-bis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w:t>
      </w:r>
      <w:r w:rsidRPr="00F818C6">
        <w:rPr>
          <w:rFonts w:ascii="Verdana" w:eastAsia="Times New Roman" w:hAnsi="Verdana" w:cs="Times New Roman"/>
          <w:i/>
          <w:iCs/>
          <w:color w:val="000000" w:themeColor="text1"/>
          <w:sz w:val="27"/>
          <w:lang w:eastAsia="it-IT"/>
        </w:rPr>
        <w:t> 29 </w:t>
      </w:r>
      <w:r w:rsidRPr="002E2431">
        <w:rPr>
          <w:rFonts w:ascii="Verdana" w:eastAsia="Times New Roman" w:hAnsi="Verdana" w:cs="Times New Roman"/>
          <w:i/>
          <w:iCs/>
          <w:color w:val="000000" w:themeColor="text1"/>
          <w:sz w:val="27"/>
          <w:szCs w:val="27"/>
          <w:lang w:eastAsia="it-IT"/>
        </w:rPr>
        <w:t>della</w:t>
      </w:r>
      <w:r w:rsidRPr="00F818C6">
        <w:rPr>
          <w:rFonts w:ascii="Verdana" w:eastAsia="Times New Roman" w:hAnsi="Verdana" w:cs="Times New Roman"/>
          <w:i/>
          <w:iCs/>
          <w:color w:val="000000" w:themeColor="text1"/>
          <w:sz w:val="27"/>
          <w:lang w:eastAsia="it-IT"/>
        </w:rPr>
        <w:t> legge 27 febbraio 1985, n. 52</w:t>
      </w:r>
      <w:r w:rsidRPr="002E2431">
        <w:rPr>
          <w:rFonts w:ascii="Verdana" w:eastAsia="Times New Roman" w:hAnsi="Verdana" w:cs="Times New Roman"/>
          <w:color w:val="000000" w:themeColor="text1"/>
          <w:sz w:val="27"/>
          <w:szCs w:val="27"/>
          <w:lang w:eastAsia="it-IT"/>
        </w:rPr>
        <w:t>, sul cui ambito applicativo si richiamano le indicazioni di carattere generale già fornite con la citata</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Circ. 9 luglio 2010, n. 2/T</w:t>
      </w:r>
      <w:r w:rsidRPr="002E2431">
        <w:rPr>
          <w:rFonts w:ascii="Verdana" w:eastAsia="Times New Roman" w:hAnsi="Verdana" w:cs="Times New Roman"/>
          <w:color w:val="000000" w:themeColor="text1"/>
          <w:sz w:val="27"/>
          <w:szCs w:val="27"/>
          <w:lang w:eastAsia="it-IT"/>
        </w:rPr>
        <w:t>.</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Per effetto della novella, la nuova formulazione del comma 1-bis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w:t>
      </w:r>
      <w:r w:rsidRPr="00F818C6">
        <w:rPr>
          <w:rFonts w:ascii="Verdana" w:eastAsia="Times New Roman" w:hAnsi="Verdana" w:cs="Times New Roman"/>
          <w:i/>
          <w:iCs/>
          <w:color w:val="000000" w:themeColor="text1"/>
          <w:sz w:val="27"/>
          <w:lang w:eastAsia="it-IT"/>
        </w:rPr>
        <w:t> 29 </w:t>
      </w:r>
      <w:r w:rsidRPr="002E2431">
        <w:rPr>
          <w:rFonts w:ascii="Verdana" w:eastAsia="Times New Roman" w:hAnsi="Verdana" w:cs="Times New Roman"/>
          <w:i/>
          <w:iCs/>
          <w:color w:val="000000" w:themeColor="text1"/>
          <w:sz w:val="27"/>
          <w:szCs w:val="27"/>
          <w:lang w:eastAsia="it-IT"/>
        </w:rPr>
        <w:t>della</w:t>
      </w:r>
      <w:r w:rsidRPr="00F818C6">
        <w:rPr>
          <w:rFonts w:ascii="Verdana" w:eastAsia="Times New Roman" w:hAnsi="Verdana" w:cs="Times New Roman"/>
          <w:i/>
          <w:iCs/>
          <w:color w:val="000000" w:themeColor="text1"/>
          <w:sz w:val="27"/>
          <w:lang w:eastAsia="it-IT"/>
        </w:rPr>
        <w:t> legge n. 52 del 1985</w:t>
      </w:r>
      <w:r w:rsidRPr="002E2431">
        <w:rPr>
          <w:rFonts w:ascii="Verdana" w:eastAsia="Times New Roman" w:hAnsi="Verdana" w:cs="Times New Roman"/>
          <w:color w:val="000000" w:themeColor="text1"/>
          <w:sz w:val="27"/>
          <w:szCs w:val="27"/>
          <w:lang w:eastAsia="it-IT"/>
        </w:rPr>
        <w:t>, è la seguente:</w:t>
      </w:r>
    </w:p>
    <w:p w:rsidR="002E2431" w:rsidRPr="002E2431" w:rsidRDefault="002E2431" w:rsidP="002E2431">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"1-bis. Gli atti pubblici e le scritture private autenticate tra vivi aventi ad oggetto il trasferimento, la costituzione o lo scioglimento di comunione di diritti reali su fabbricati già esistenti, ad esclusione dei diritti reali di garanzia, devono contenere, per le unità immobiliari urbane, a pena di nullità, oltre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identificazione catastale, il riferimento alle planimetrie depositate in catasto e la dichiarazione, resa in atti dagli intestatari, della conformità allo stato di fatto dei dati catastali e delle planimetrie/ sulla base delle disposizioni vigenti in materia catastale. La predetta dichiarazione può essere sostituita da un</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attestazione di conformità rilasciata da un tecnico abilitato alla presentazione degli atti di aggiornamento catastale. Prima della stipula dei predetti atti il notaio individua gli intestatari catastali e verifica la loro conformità con le risultanze dei registri immobiliari.".</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Come illustrato nella</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Circ. 9 luglio 2010, n. 2/T</w:t>
      </w:r>
      <w:r w:rsidRPr="002E2431">
        <w:rPr>
          <w:rFonts w:ascii="Verdana" w:eastAsia="Times New Roman" w:hAnsi="Verdana" w:cs="Times New Roman"/>
          <w:color w:val="000000" w:themeColor="text1"/>
          <w:sz w:val="27"/>
          <w:szCs w:val="27"/>
          <w:lang w:eastAsia="it-IT"/>
        </w:rPr>
        <w:t>, il primo periodo del comma 1-bis, di cui trattasi, prevede che "gli atti pubblici e le scritture private autenticate tra vivi...", relativi alle unità immobiliari urbane, debbano contenere, a pena di nullità, oltre che i dati di identificazione catastale del bene, anche il riferimento alle planimetrie depositate in catasto e la dichiarazione della loro conformità allo stato di fatto.</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Inoltre, anche al fine di consentire un più completo allineamento delle banche dati ipotecaria e catastale, il terzo periodo del suddetto comma dispone che, prima della stipula, il notaio deve individuare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intestatario catastale e la relativa conformità con le risultanze dei registri immobiliari.</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 xml:space="preserve">È opportuno evidenziare, in proposito, che le disposizioni in esame sono riferite ad atti aventi ad oggetto il trasferimento, la costituzione </w:t>
      </w:r>
      <w:r w:rsidRPr="002E2431">
        <w:rPr>
          <w:rFonts w:ascii="Verdana" w:eastAsia="Times New Roman" w:hAnsi="Verdana" w:cs="Times New Roman"/>
          <w:color w:val="000000" w:themeColor="text1"/>
          <w:sz w:val="27"/>
          <w:szCs w:val="27"/>
          <w:lang w:eastAsia="it-IT"/>
        </w:rPr>
        <w:lastRenderedPageBreak/>
        <w:t>di diritti reali di godimento o lo scioglimento di comunione di diritti reali, redatti con requisiti di forma idonei per la trascrizione.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A tale proposito si rileva che, con le modifiche introdotte dalla legge di conversione, il legislatore ha chiarito espressamente che sono escluse dall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ambito applicativo della norma gli atti costitutivi di diritti reali di garanzia.</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Con tale opportuna precisazione, sono state risolte le incertezze interpretative, segnalate in sede di prima attuazione della disposizione in argomento, in merito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inclusione o meno, nel relativo ambito applicativo, degli atti di concessione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ipoteca.</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Ulteriore precisazione, introdotta dalla legge di conversione, è quella relativa al parametro di riferimento per la dichiarazione di conformità allo stato di fatto dei dati catastali e delle planimetrie, conformità da valutarsi sulla base delle disposizioni vigenti in materia catastale.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Sotto tale profilo, si deve intendere che la predetta disposizione è in correlazione con le norme catastali che individuano le fattispecie per le quali sussiste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obbligo di presentazione della dichiarazione di variazione nello stato dei beni, con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allegazione delle planimetrie catastali.</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Nella consapevolezza che la corretta compilazione e redazione della documentazione grafica e descrittiva degli immobili in catasto riveste un ruolo determinante per la conoscenza del patrimonio immobiliare nazionale e per la costituzione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Anagrafe Immobiliare Integrata, si forniscono ulteriori criteri per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individuazione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ambito di applicazione della disposizione, in ordine alle verifiche tecniche da espletare.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In primo luogo, si osserva che la norma in commento fa espresso riferimento alle unità immobiliari; ne consegue che restano escluse dal relativo ambito di applicazione tutte quelle porzioni immobiliari che, in relazione alle finalità proprie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inventario catastale, necessitano di essere dichiarate per completare la conoscenza del patrimonio immobiliare. Si fa espresso riferimento, da una parte, a quegli immobili - o porzioni - elencati nelle categorie fittizie del gruppo "F", menzionate nell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w:t>
      </w:r>
      <w:r w:rsidRPr="00F818C6">
        <w:rPr>
          <w:rFonts w:ascii="Verdana" w:eastAsia="Times New Roman" w:hAnsi="Verdana" w:cs="Times New Roman"/>
          <w:i/>
          <w:iCs/>
          <w:color w:val="000000" w:themeColor="text1"/>
          <w:sz w:val="27"/>
          <w:lang w:eastAsia="it-IT"/>
        </w:rPr>
        <w:t> 3, comma 2</w:t>
      </w:r>
      <w:r w:rsidRPr="002E2431">
        <w:rPr>
          <w:rFonts w:ascii="Verdana" w:eastAsia="Times New Roman" w:hAnsi="Verdana" w:cs="Times New Roman"/>
          <w:i/>
          <w:iCs/>
          <w:color w:val="000000" w:themeColor="text1"/>
          <w:sz w:val="27"/>
          <w:szCs w:val="27"/>
          <w:lang w:eastAsia="it-IT"/>
        </w:rPr>
        <w:t>, del</w:t>
      </w:r>
      <w:r w:rsidRPr="00F818C6">
        <w:rPr>
          <w:rFonts w:ascii="Verdana" w:eastAsia="Times New Roman" w:hAnsi="Verdana" w:cs="Times New Roman"/>
          <w:i/>
          <w:iCs/>
          <w:color w:val="000000" w:themeColor="text1"/>
          <w:sz w:val="27"/>
          <w:lang w:eastAsia="it-IT"/>
        </w:rPr>
        <w:t> D.M. 2 gennaio 1998, n. 28</w:t>
      </w:r>
      <w:r w:rsidRPr="002E2431">
        <w:rPr>
          <w:rFonts w:ascii="Verdana" w:eastAsia="Times New Roman" w:hAnsi="Verdana" w:cs="Times New Roman"/>
          <w:color w:val="000000" w:themeColor="text1"/>
          <w:sz w:val="27"/>
          <w:szCs w:val="27"/>
          <w:lang w:eastAsia="it-IT"/>
        </w:rPr>
        <w:t xml:space="preserve">, del Ministro delle Finanze (aree urbane, unità </w:t>
      </w:r>
      <w:proofErr w:type="spellStart"/>
      <w:r w:rsidRPr="002E2431">
        <w:rPr>
          <w:rFonts w:ascii="Verdana" w:eastAsia="Times New Roman" w:hAnsi="Verdana" w:cs="Times New Roman"/>
          <w:color w:val="000000" w:themeColor="text1"/>
          <w:sz w:val="27"/>
          <w:szCs w:val="27"/>
          <w:lang w:eastAsia="it-IT"/>
        </w:rPr>
        <w:t>collabenti</w:t>
      </w:r>
      <w:proofErr w:type="spellEnd"/>
      <w:r w:rsidRPr="002E2431">
        <w:rPr>
          <w:rFonts w:ascii="Verdana" w:eastAsia="Times New Roman" w:hAnsi="Verdana" w:cs="Times New Roman"/>
          <w:color w:val="000000" w:themeColor="text1"/>
          <w:sz w:val="27"/>
          <w:szCs w:val="27"/>
          <w:lang w:eastAsia="it-IT"/>
        </w:rPr>
        <w:t>, unità in corso di costruzione, unità in corso di definizione, lastrici solari) e, dall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 xml:space="preserve">altra, ai cosiddetti "beni comuni non censibili" (cioè beni comuni a più unità immobiliari e privi di rendita), che vengono individuati, di massima, </w:t>
      </w:r>
      <w:r w:rsidRPr="002E2431">
        <w:rPr>
          <w:rFonts w:ascii="Verdana" w:eastAsia="Times New Roman" w:hAnsi="Verdana" w:cs="Times New Roman"/>
          <w:color w:val="000000" w:themeColor="text1"/>
          <w:sz w:val="27"/>
          <w:szCs w:val="27"/>
          <w:lang w:eastAsia="it-IT"/>
        </w:rPr>
        <w:lastRenderedPageBreak/>
        <w:t>nelle seguenti tipologie: androni, scale, aree di passaggio, cortili e terrazzi condominiali, ecc.</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Per i beni del primo gruppo, è prevista la descrizione della titolarità, ossia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individuazione di soggetti intestatari dei beni da iscrivere negli atti del catasto, mentre per i "beni comuni non censibili" si provvede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iscrizione nella apposita partita speciale di catasto edilizio urbano. Si rammenta che, secondo le attuali disposizioni, la rappresentazione grafica di tali porzioni immobiliari è riportata esclusivamente nell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elaborato planimetrico e per gli stessi non è dovuta la redazione della planimetria.</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Con particolare riferimento agli immobili intestati alla partita "beni comuni censibili" [1], quali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alloggio del portiere, si ritiene che la dichiarazione di conformità allo stato di fatto non sia obbligatoria nel caso in cui il trasferimento "delle relative quote e diritti" avvenga unitamente al trasferimento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unità immobiliare oggetto di compravendita (quando, a titolo esemplificativo, nella vendita di un appartamento sono ricomprese quote e diritti connessi ai beni comuni censibili).</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Di contro, detta dichiarazione assume rilevanza nell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ipotesi in cui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alloggio del portiere, o altro bene comune censibile, sia oggetto di autonomo trasferimento da parte dei condomini. In questa ultima ipotesi, infatti,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unità immobiliare perde la sua funzione di bene condominiale e, pertanto, si rende necessaria anche la relativa registrazione con una specifica intestazione, in luogo della partita speciale, per tenere in debita evidenza i diritti e le quote vantati da ciascun soggetto.</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Devono ritenersi, ovviamente, ricompresi nell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ambito applicativo del comma 14 in esame, gli atti aventi ad oggetto le unità immobiliari ed. "afferenti", relative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edificazione di nuovi piani o nuovi corpi di fabbrica, realizzate su un lotto già edificato e censito al catasto edilizio urbano (ad esempio autorimesse, magazzini, ecc.).</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Si ribadisce, inoltre, che hanno rilevanza, ai fini catastali, tutti gli interventi influenti sul classamento e sulla rendita, quali gli ampliamenti delle unità immobiliari esistenti effettuati successivamente alla redazione della planimetria, ovvero, le modifiche interne incidenti sulla consistenza.</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 xml:space="preserve">Per converso, non ha rilevanza la modifica esterna del fabbricato, ampliato successivamente alla redazione della planimetria, qualora </w:t>
      </w:r>
      <w:r w:rsidRPr="002E2431">
        <w:rPr>
          <w:rFonts w:ascii="Verdana" w:eastAsia="Times New Roman" w:hAnsi="Verdana" w:cs="Times New Roman"/>
          <w:color w:val="000000" w:themeColor="text1"/>
          <w:sz w:val="27"/>
          <w:szCs w:val="27"/>
          <w:lang w:eastAsia="it-IT"/>
        </w:rPr>
        <w:lastRenderedPageBreak/>
        <w:t>non incida sul perimetro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unità immobiliare ivi rappresentata, oggetto del trasferimento.</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Si ritiene, inoltre, utile richiamare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attenzione sul tema della "conformità allo stato di fatto dei dati catastali e delle planimetrie", oggetto della dichiarazione da rendere in atti dall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intestatario catastale. Tale aspetto è stato ampiamente trattato nella menzionata</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Circ. 9 luglio 2010, n. 2/T</w:t>
      </w:r>
      <w:r w:rsidRPr="002E2431">
        <w:rPr>
          <w:rFonts w:ascii="Verdana" w:eastAsia="Times New Roman" w:hAnsi="Verdana" w:cs="Times New Roman"/>
          <w:color w:val="000000" w:themeColor="text1"/>
          <w:sz w:val="27"/>
          <w:szCs w:val="27"/>
          <w:lang w:eastAsia="it-IT"/>
        </w:rPr>
        <w:t>, con la quale è stato precisato che assume rilievo ogni incoerenza che comporti una variazione della consistenza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immobile e quindi della rendita catastale.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Sotto tale profilo, si sottolinea che non può considerarsi comunque coerente la planimetria sulla quale il funzionario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Ufficio provinciale, in fase di accertamento, abbia riportato attestazioni di ed. "non conformità", anche mediante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apposizione sulla planimetria stessa di annotazioni o di altre evidenze grafiche, che, come tali, possono costituire indizi di anomalie.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A tale proposito, si ritiene opportuno evidenziare che la legge di conversione,</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L. n. 122 del 2010</w:t>
      </w:r>
      <w:r w:rsidRPr="002E2431">
        <w:rPr>
          <w:rFonts w:ascii="Verdana" w:eastAsia="Times New Roman" w:hAnsi="Verdana" w:cs="Times New Roman"/>
          <w:color w:val="000000" w:themeColor="text1"/>
          <w:sz w:val="27"/>
          <w:szCs w:val="27"/>
          <w:lang w:eastAsia="it-IT"/>
        </w:rPr>
        <w:t>, con 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introduzione del comma 1-bis, dell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w:t>
      </w:r>
      <w:r w:rsidRPr="00F818C6">
        <w:rPr>
          <w:rFonts w:ascii="Verdana" w:eastAsia="Times New Roman" w:hAnsi="Verdana" w:cs="Times New Roman"/>
          <w:i/>
          <w:iCs/>
          <w:color w:val="000000" w:themeColor="text1"/>
          <w:sz w:val="27"/>
          <w:lang w:eastAsia="it-IT"/>
        </w:rPr>
        <w:t> 29 </w:t>
      </w:r>
      <w:r w:rsidRPr="002E2431">
        <w:rPr>
          <w:rFonts w:ascii="Verdana" w:eastAsia="Times New Roman" w:hAnsi="Verdana" w:cs="Times New Roman"/>
          <w:i/>
          <w:iCs/>
          <w:color w:val="000000" w:themeColor="text1"/>
          <w:sz w:val="27"/>
          <w:szCs w:val="27"/>
          <w:lang w:eastAsia="it-IT"/>
        </w:rPr>
        <w:t>della</w:t>
      </w:r>
      <w:r w:rsidRPr="00F818C6">
        <w:rPr>
          <w:rFonts w:ascii="Verdana" w:eastAsia="Times New Roman" w:hAnsi="Verdana" w:cs="Times New Roman"/>
          <w:i/>
          <w:iCs/>
          <w:color w:val="000000" w:themeColor="text1"/>
          <w:sz w:val="27"/>
          <w:lang w:eastAsia="it-IT"/>
        </w:rPr>
        <w:t> legge n. 52 del 1985</w:t>
      </w:r>
      <w:r w:rsidRPr="002E2431">
        <w:rPr>
          <w:rFonts w:ascii="Verdana" w:eastAsia="Times New Roman" w:hAnsi="Verdana" w:cs="Times New Roman"/>
          <w:color w:val="000000" w:themeColor="text1"/>
          <w:sz w:val="27"/>
          <w:szCs w:val="27"/>
          <w:lang w:eastAsia="it-IT"/>
        </w:rPr>
        <w:t>, ha previsto che la dichiarazione di conformità, resa in atti dagli intestatari, possa essere sostituita da un</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color w:val="000000" w:themeColor="text1"/>
          <w:sz w:val="27"/>
          <w:szCs w:val="27"/>
          <w:lang w:eastAsia="it-IT"/>
        </w:rPr>
        <w:t>attestazione di conformità rilasciata da un tecnico abilitato alla presentazione degli atti di aggiornamento catastale.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Al fine, peraltro, di agevolare la corretta esecuzione degli adempimenti previsti dalle novellate disposizioni, la scrivente ha avviato, in via sperimentale, il servizio di consultazione telematica delle planimetrie catastali, cui verranno abilitati successivamente, in correlazione al relativo incarico professionale, tutti i notai ed i tecnici, iscritti agli albi professionali, incaricati della presentazione degli atti di aggiornamento di cui all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w:t>
      </w:r>
      <w:r w:rsidRPr="00F818C6">
        <w:rPr>
          <w:rFonts w:ascii="Verdana" w:eastAsia="Times New Roman" w:hAnsi="Verdana" w:cs="Times New Roman"/>
          <w:i/>
          <w:iCs/>
          <w:color w:val="000000" w:themeColor="text1"/>
          <w:sz w:val="27"/>
          <w:lang w:eastAsia="it-IT"/>
        </w:rPr>
        <w:t> 1, comma 374</w:t>
      </w:r>
      <w:r w:rsidRPr="002E2431">
        <w:rPr>
          <w:rFonts w:ascii="Verdana" w:eastAsia="Times New Roman" w:hAnsi="Verdana" w:cs="Times New Roman"/>
          <w:i/>
          <w:iCs/>
          <w:color w:val="000000" w:themeColor="text1"/>
          <w:sz w:val="27"/>
          <w:szCs w:val="27"/>
          <w:lang w:eastAsia="it-IT"/>
        </w:rPr>
        <w:t>, della</w:t>
      </w:r>
      <w:r w:rsidRPr="00F818C6">
        <w:rPr>
          <w:rFonts w:ascii="Verdana" w:eastAsia="Times New Roman" w:hAnsi="Verdana" w:cs="Times New Roman"/>
          <w:i/>
          <w:iCs/>
          <w:color w:val="000000" w:themeColor="text1"/>
          <w:sz w:val="27"/>
          <w:lang w:eastAsia="it-IT"/>
        </w:rPr>
        <w:t> legge 30 dicembre 2004, n. 311</w:t>
      </w:r>
      <w:r w:rsidRPr="002E2431">
        <w:rPr>
          <w:rFonts w:ascii="Verdana" w:eastAsia="Times New Roman" w:hAnsi="Verdana" w:cs="Times New Roman"/>
          <w:color w:val="000000" w:themeColor="text1"/>
          <w:sz w:val="27"/>
          <w:szCs w:val="27"/>
          <w:lang w:eastAsia="it-IT"/>
        </w:rPr>
        <w:t>.</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Si ritiene, da ultimo, opportuno rammentare che le modifiche introdotte nell</w:t>
      </w:r>
      <w:r w:rsidR="00F818C6" w:rsidRPr="00F818C6">
        <w:rPr>
          <w:rFonts w:ascii="Verdana" w:eastAsia="Times New Roman" w:hAnsi="Verdana" w:cs="Times New Roman"/>
          <w:color w:val="000000" w:themeColor="text1"/>
          <w:sz w:val="27"/>
          <w:szCs w:val="27"/>
          <w:lang w:eastAsia="it-IT"/>
        </w:rPr>
        <w:t>’</w:t>
      </w:r>
      <w:r w:rsidRPr="002E2431">
        <w:rPr>
          <w:rFonts w:ascii="Verdana" w:eastAsia="Times New Roman" w:hAnsi="Verdana" w:cs="Times New Roman"/>
          <w:i/>
          <w:iCs/>
          <w:color w:val="000000" w:themeColor="text1"/>
          <w:sz w:val="27"/>
          <w:szCs w:val="27"/>
          <w:lang w:eastAsia="it-IT"/>
        </w:rPr>
        <w:t>art.</w:t>
      </w:r>
      <w:r w:rsidRPr="00F818C6">
        <w:rPr>
          <w:rFonts w:ascii="Verdana" w:eastAsia="Times New Roman" w:hAnsi="Verdana" w:cs="Times New Roman"/>
          <w:i/>
          <w:iCs/>
          <w:color w:val="000000" w:themeColor="text1"/>
          <w:sz w:val="27"/>
          <w:lang w:eastAsia="it-IT"/>
        </w:rPr>
        <w:t> 19 </w:t>
      </w:r>
      <w:r w:rsidRPr="002E2431">
        <w:rPr>
          <w:rFonts w:ascii="Verdana" w:eastAsia="Times New Roman" w:hAnsi="Verdana" w:cs="Times New Roman"/>
          <w:i/>
          <w:iCs/>
          <w:color w:val="000000" w:themeColor="text1"/>
          <w:sz w:val="27"/>
          <w:szCs w:val="27"/>
          <w:lang w:eastAsia="it-IT"/>
        </w:rPr>
        <w:t>del</w:t>
      </w:r>
      <w:r w:rsidRPr="00F818C6">
        <w:rPr>
          <w:rFonts w:ascii="Verdana" w:eastAsia="Times New Roman" w:hAnsi="Verdana" w:cs="Times New Roman"/>
          <w:i/>
          <w:iCs/>
          <w:color w:val="000000" w:themeColor="text1"/>
          <w:sz w:val="27"/>
          <w:lang w:eastAsia="it-IT"/>
        </w:rPr>
        <w:t> decreto legge n. 78 del 2010</w:t>
      </w:r>
      <w:r w:rsidRPr="00F818C6">
        <w:rPr>
          <w:rFonts w:ascii="Verdana" w:eastAsia="Times New Roman" w:hAnsi="Verdana" w:cs="Times New Roman"/>
          <w:color w:val="000000" w:themeColor="text1"/>
          <w:sz w:val="27"/>
          <w:lang w:eastAsia="it-IT"/>
        </w:rPr>
        <w:t> </w:t>
      </w:r>
      <w:r w:rsidRPr="002E2431">
        <w:rPr>
          <w:rFonts w:ascii="Verdana" w:eastAsia="Times New Roman" w:hAnsi="Verdana" w:cs="Times New Roman"/>
          <w:color w:val="000000" w:themeColor="text1"/>
          <w:sz w:val="27"/>
          <w:szCs w:val="27"/>
          <w:lang w:eastAsia="it-IT"/>
        </w:rPr>
        <w:t>dalla già citata legge di conversione,</w:t>
      </w:r>
      <w:r w:rsidRPr="00F818C6">
        <w:rPr>
          <w:rFonts w:ascii="Verdana" w:eastAsia="Times New Roman" w:hAnsi="Verdana" w:cs="Times New Roman"/>
          <w:color w:val="000000" w:themeColor="text1"/>
          <w:sz w:val="27"/>
          <w:lang w:eastAsia="it-IT"/>
        </w:rPr>
        <w:t> </w:t>
      </w:r>
      <w:r w:rsidRPr="00F818C6">
        <w:rPr>
          <w:rFonts w:ascii="Verdana" w:eastAsia="Times New Roman" w:hAnsi="Verdana" w:cs="Times New Roman"/>
          <w:i/>
          <w:iCs/>
          <w:color w:val="000000" w:themeColor="text1"/>
          <w:sz w:val="27"/>
          <w:lang w:eastAsia="it-IT"/>
        </w:rPr>
        <w:t>L. n. 122 del 2010</w:t>
      </w:r>
      <w:r w:rsidRPr="002E2431">
        <w:rPr>
          <w:rFonts w:ascii="Verdana" w:eastAsia="Times New Roman" w:hAnsi="Verdana" w:cs="Times New Roman"/>
          <w:color w:val="000000" w:themeColor="text1"/>
          <w:sz w:val="27"/>
          <w:szCs w:val="27"/>
          <w:lang w:eastAsia="it-IT"/>
        </w:rPr>
        <w:t>, si applicano dal 31 luglio 2010, data di entrata in vigore della stessa.</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Gli Uffici Provinciali sono invitati al puntuale rispetto delle indicazioni fornite con la presente circolare e le Direzioni Regionali a verificarne la corretta applicazione.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[1] Per quanto riguarda le nozioni di "bene comune non censibile" e "bene comune censibile" si fa riferimento a quanto stabilito con la circolare n. 2 del 20 gennaio 1984, emanata dalla Direzione Generale del Catasto e dei Servizi Tecnici Erariali. Con tale documento di prassi è stato infatti precisato che si considerano "beni comuni censibili" quelle unità immobiliari urbane che, ancorché dotate di autonoma capacità reddituale, forniscono servizi comuni o sono fruibili da più unità immobiliari, e come tali vengono dichiarate. Per converso, sono considerati "beni comuni non censibili" quelle porzioni, comuni ad alcune unità immobiliari per destinazione ovvero per la loro specifica funzione di utilizzazione indivisa, che non possiedono autonoma capacità reddituale.</w:t>
      </w:r>
    </w:p>
    <w:p w:rsidR="002E2431" w:rsidRPr="002E2431" w:rsidRDefault="002E2431" w:rsidP="002E2431">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p>
    <w:p w:rsidR="002E2431" w:rsidRPr="002E2431" w:rsidRDefault="002E2431" w:rsidP="002E2431">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Il Direttore</w:t>
      </w:r>
    </w:p>
    <w:p w:rsidR="002E2431" w:rsidRPr="002E2431" w:rsidRDefault="002E2431" w:rsidP="002E2431">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2E2431">
        <w:rPr>
          <w:rFonts w:ascii="Verdana" w:eastAsia="Times New Roman" w:hAnsi="Verdana" w:cs="Times New Roman"/>
          <w:color w:val="000000" w:themeColor="text1"/>
          <w:sz w:val="27"/>
          <w:szCs w:val="27"/>
          <w:lang w:eastAsia="it-IT"/>
        </w:rPr>
        <w:t>Gabriella Alemanno</w:t>
      </w:r>
    </w:p>
    <w:p w:rsidR="008E304F" w:rsidRPr="00F818C6" w:rsidRDefault="008E304F">
      <w:pPr>
        <w:rPr>
          <w:color w:val="000000" w:themeColor="text1"/>
        </w:rPr>
      </w:pPr>
    </w:p>
    <w:sectPr w:rsidR="008E304F" w:rsidRPr="00F818C6" w:rsidSect="008E30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E2431"/>
    <w:rsid w:val="002E2431"/>
    <w:rsid w:val="008E304F"/>
    <w:rsid w:val="00F818C6"/>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0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2E24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E2431"/>
  </w:style>
  <w:style w:type="character" w:styleId="Collegamentoipertestuale">
    <w:name w:val="Hyperlink"/>
    <w:basedOn w:val="Carpredefinitoparagrafo"/>
    <w:uiPriority w:val="99"/>
    <w:semiHidden/>
    <w:unhideWhenUsed/>
    <w:rsid w:val="002E2431"/>
    <w:rPr>
      <w:color w:val="0000FF"/>
      <w:u w:val="single"/>
    </w:rPr>
  </w:style>
  <w:style w:type="paragraph" w:customStyle="1" w:styleId="provvr0">
    <w:name w:val="provv_r0"/>
    <w:basedOn w:val="Normale"/>
    <w:rsid w:val="002E243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2E243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E243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d">
    <w:name w:val="provv_d"/>
    <w:basedOn w:val="Normale"/>
    <w:rsid w:val="002E24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2E2431"/>
  </w:style>
  <w:style w:type="character" w:customStyle="1" w:styleId="provvrubrica">
    <w:name w:val="provv_rubrica"/>
    <w:basedOn w:val="Carpredefinitoparagrafo"/>
    <w:rsid w:val="002E2431"/>
  </w:style>
  <w:style w:type="paragraph" w:customStyle="1" w:styleId="provvr1">
    <w:name w:val="provv_r1"/>
    <w:basedOn w:val="Normale"/>
    <w:rsid w:val="002E243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731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3429</Words>
  <Characters>19548</Characters>
  <Application>Microsoft Office Word</Application>
  <DocSecurity>0</DocSecurity>
  <Lines>162</Lines>
  <Paragraphs>45</Paragraphs>
  <ScaleCrop>false</ScaleCrop>
  <Company/>
  <LinksUpToDate>false</LinksUpToDate>
  <CharactersWithSpaces>22932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2014-05-30T08:02:00Z</dcterms:created>
  <dcterms:modified xsi:type="dcterms:W3CDTF">2014-05-30T08:56:00Z</dcterms:modified>
</cp:coreProperties>
</file>