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>D.M. 19 aprile 1994, n. 701</w:t>
      </w:r>
      <w:r w:rsidRPr="00F52E0D">
        <w:rPr>
          <w:rFonts w:ascii="Verdana" w:eastAsia="Times New Roman" w:hAnsi="Verdana" w:cs="Times New Roman"/>
          <w:b/>
          <w:bCs/>
          <w:color w:val="000000" w:themeColor="text1"/>
          <w:sz w:val="27"/>
          <w:lang w:eastAsia="it-IT"/>
        </w:rPr>
        <w:t> </w:t>
      </w:r>
      <w:bookmarkStart w:id="0" w:name="1up"/>
      <w:r w:rsidRPr="00F52E0D">
        <w:rPr>
          <w:rFonts w:ascii="Verdana" w:eastAsia="Times New Roman" w:hAnsi="Verdana" w:cs="Times New Roman"/>
          <w:b/>
          <w:bCs/>
          <w:color w:val="000000" w:themeColor="text1"/>
          <w:sz w:val="14"/>
          <w:vertAlign w:val="superscript"/>
          <w:lang w:eastAsia="it-IT"/>
        </w:rPr>
        <w:t>(1)</w:t>
      </w:r>
      <w:bookmarkEnd w:id="0"/>
      <w:r w:rsidRPr="00F52E0D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>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>Regolamento recante norme per l</w:t>
      </w:r>
      <w:r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>automazione delle procedure di aggiornamento degli archivi catastali e delle conservatorie dei registri immobiliari</w:t>
      </w:r>
      <w:r w:rsidRPr="00F52E0D">
        <w:rPr>
          <w:rFonts w:ascii="Verdana" w:eastAsia="Times New Roman" w:hAnsi="Verdana" w:cs="Times New Roman"/>
          <w:b/>
          <w:bCs/>
          <w:color w:val="000000" w:themeColor="text1"/>
          <w:sz w:val="27"/>
          <w:lang w:eastAsia="it-IT"/>
        </w:rPr>
        <w:t> </w:t>
      </w:r>
      <w:bookmarkStart w:id="1" w:name="2up"/>
      <w:r w:rsidRPr="00F52E0D">
        <w:rPr>
          <w:rFonts w:ascii="Verdana" w:eastAsia="Times New Roman" w:hAnsi="Verdana" w:cs="Times New Roman"/>
          <w:b/>
          <w:bCs/>
          <w:color w:val="000000" w:themeColor="text1"/>
          <w:sz w:val="14"/>
          <w:vertAlign w:val="superscript"/>
          <w:lang w:eastAsia="it-IT"/>
        </w:rPr>
        <w:t>(2)</w:t>
      </w:r>
      <w:bookmarkEnd w:id="1"/>
      <w:r w:rsidRPr="00F52E0D">
        <w:rPr>
          <w:rFonts w:ascii="Verdana" w:eastAsia="Times New Roman" w:hAnsi="Verdana" w:cs="Times New Roman"/>
          <w:b/>
          <w:bCs/>
          <w:color w:val="000000" w:themeColor="text1"/>
          <w:sz w:val="27"/>
          <w:lang w:eastAsia="it-IT"/>
        </w:rPr>
        <w:t> </w:t>
      </w:r>
      <w:bookmarkStart w:id="2" w:name="3up"/>
      <w:r w:rsidRPr="00F52E0D">
        <w:rPr>
          <w:rFonts w:ascii="Verdana" w:eastAsia="Times New Roman" w:hAnsi="Verdana" w:cs="Times New Roman"/>
          <w:b/>
          <w:bCs/>
          <w:color w:val="000000" w:themeColor="text1"/>
          <w:sz w:val="14"/>
          <w:vertAlign w:val="superscript"/>
          <w:lang w:eastAsia="it-IT"/>
        </w:rPr>
        <w:t>(3)</w:t>
      </w:r>
      <w:bookmarkEnd w:id="2"/>
      <w:r w:rsidRPr="00F52E0D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>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3" w:name="1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(1)</w:t>
      </w:r>
      <w:bookmarkEnd w:id="3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 xml:space="preserve"> Pubblicato nella </w:t>
      </w:r>
      <w:proofErr w:type="spellStart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Gazz</w:t>
      </w:r>
      <w:proofErr w:type="spellEnd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. Uff. 24 dicembre 1994, n. 300.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4" w:name="2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(2)</w:t>
      </w:r>
      <w:bookmarkEnd w:id="4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Emanato dal Ministero delle finanze.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5" w:name="3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(3)</w:t>
      </w:r>
      <w:bookmarkEnd w:id="5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 Per l’attivazione delle procedure informatiche di cui al presente decreto vedi, anche, il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D.M. 1° dicembre 1995</w:t>
      </w:r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 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IL MINISTRO DELLE FINANZE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Visto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art. 2, comma 1-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quinquies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del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decreto-legge 23 gennaio 1993, n. 16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convertito, con modificazioni, dalla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legge 24 marzo 1993, n. 75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con il quale è stata prevista, ai fini del costante aggiornamento del catasto edilizio urbano, la definizione delle procedure per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utilizzazione dei dati risultanti dagli atti iscritti o trascritti presso le conservatorie dei registri immobiliari o già acquisiti dall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anagrafe tributaria ai sensi del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decreto del Presidente della Repubblica 29 settembre 1973, n. 605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come sostituito dall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art.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1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del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decreto del Presidente della Repubblica 2 novembre 1976, n. 784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;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Visto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art. 2, comma 1-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septies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del citato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decreto-legge n. 16 del 1993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con il quale è stata prevista la definizione di condizioni, modalità e termini per la presentazione e la registrazione delle dichiarazioni di variazione nello stato dei beni o nei diritti reali sugli stessi insistenti, tali da rendere le relative procedure idonee 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aggiornamento degli archivi catastali anche per via informatica o telematica;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Visto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art. 56 del regolamento per la formazione del nuovo catasto edilizio urbano, approvato con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decreto del Presidente della Repubblica 1° dicembre 1949, n. 1142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;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Visto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art.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20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del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regio decreto-legge 13 aprile 1939, n. 652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convertito, con modificazioni, dalla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legge 11 agosto 1939, n. 1249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concernente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accertamento generale dei fabbricati urbani, come sostituito dall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art. 2 del decreto legislativo 8 aprile 1946, n. 514;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Visto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art.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8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della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legge 1° ottobre 1969, n. 679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;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lastRenderedPageBreak/>
        <w:t>Visti gli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articoli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3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,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4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,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5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,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7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e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14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del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decreto del Presidente della Repubblica 26 ottobre 1972, n. 650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recante norme sul perfezionamento e la revisione del sistema catastale;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Visto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art. 27 del testo unico delle imposte sui redditi, approvato con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decreto del Presidente della Repubblica 22 dicembre 1986, n. 917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;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Visto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art. 28 del testo unico delle disposizioni concernenti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imposta sulle successioni e donazioni, approvato con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decreto legislativo 31 ottobre 1990, n. 346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;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Visto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art.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4, comma 21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, del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decreto-legge 19 dicembre 1984, n. 853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convertito, con modificazioni, dalla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legge 17 febbraio 1985, n. 17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;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Visto il decreto del Ministro delle finanze del 9 gennaio 1990, pubblicato nel supplemento ordinario n. 8 alla Gazzetta Ufficiale n. 26 del 1° febbraio 1990, con il quale sono state disciplinate le modalità di presentazione delle note di trascrizione alle conservatorie dei registri immobiliari, a mezzo di supporto informatico;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Visti gli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articoli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2, comma 1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, del citato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decreto-legge n. 16 del 1993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 9, comma 11, terzo periodo, del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decreto-legge 30 dicembre 1993, n. 557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 xml:space="preserve">, convertito, con modificazioni, </w:t>
      </w:r>
      <w:proofErr w:type="spellStart"/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dalla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legge</w:t>
      </w:r>
      <w:proofErr w:type="spellEnd"/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 xml:space="preserve"> 26 febbraio 1994, n. 133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;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Considerato il rapporto di complementarità esistente tra le disposizioni di cui ai citati commi 1-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quinquies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 1-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septies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art.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2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del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decreto-legge n. 16 del 1993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segnatamente per quanto concerne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esecuzione automatica delle volture catastali dipendenti da atti civili, giudiziari e amministrativi, sulla base delle informazioni contenute nelle relative norme di trascrizione o già acquisita presso le conservatorie dei registri immobiliari;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Considerata la necessità di provvedere 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emanazione di un unico regolamento che disciplini le procedure di aggiornamento degli archivi catastali anche per via informatica e telematica;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Visto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art.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17, comma 3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, della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legge 23 agosto 1988, n. 400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;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Udito il parere del Consiglio di Stato espresso nell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adunanza generale del 27 gennaio 1994;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lastRenderedPageBreak/>
        <w:t>Vista la comunicazione al Presidente del Consiglio dei Ministri ai sensi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art.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17, comma 3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, della citata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legge n. 400 del 1988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effettuata con nota n. 1202 del 19 aprile 1994;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Adotta il seguente regolamento: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b/>
          <w:bCs/>
          <w:color w:val="000000" w:themeColor="text1"/>
          <w:sz w:val="27"/>
          <w:lang w:eastAsia="it-IT"/>
        </w:rPr>
        <w:t>1.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Documenti tecnici.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1. Con provvedimento del direttore generale del dipartimento del territorio, da pubblicare nella Gazzetta Ufficiale, viene fissata la data a partire dalla quale le dichiarazioni per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accertamento delle unità immobiliari urbane di nuova costruzione, di cui 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art. 56 del regolamento per la formazione del nuovo catasto edilizio urbano, approvato con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decreto del Presidente della Repubblica 1° dicembre 1949, n. 1142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e le dichiarazioni di variazione dello stato dei beni, di cui 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art.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20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del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regio decreto-legge 13 aprile 1939, n. 652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convertito, con modificazioni, dalla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legge 11 agosto 1939, n. 1249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come sostituito dall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art.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2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del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decreto legislativo 8 aprile 1948, n. 514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unitamente ai relativi elaborati grafici, sono redatte conformemente ai modelli riportati nell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allegato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al presente regolamento e alle procedure vigenti o in uso presso gli uffici tecnici erariali alla data di presentazione degli atti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bookmarkStart w:id="6" w:name="4up"/>
      <w:r w:rsidRPr="00F52E0D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(4)</w:t>
      </w:r>
      <w:bookmarkEnd w:id="6"/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2. Le dichiarazioni, di cui al comma 1, ad eccezione di quelle finalizzate a procedimenti amministrativi iniziati d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ufficio, sono sottoscritte da uno dei soggetti che ha la titolarità di diritti reali sui beni denunciati e dal tecnico redattore degli atti grafici di cui sia prevista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allegazione e contengono dati e notizie tali da consentire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iscrizione in catasto con attribuzione di rendita catastale, senza visita di sopralluogo. Il dichiarante propone anche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attribuzione della categoria, classe e relativa rendita catastale, per le unità a destinazione ordinaria, o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attribuzione della categoria e della rendita, per le unità a destinazione speciale o particolare. Nelle stesse dichiarazioni sono riportati, per ciascuna unità immobiliare, i dati di superficie, espressi in metri quadrati, in conformità alle istruzioni dettate con il provvedimento di cui al comma 1.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3. Tale rendita rimane negli atti catastali come «rendita proposta» fino a quando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ufficio non provvede con mezzi di accertamento informatici o tradizionali, anche a campione, e comunque entro dodici mesi dalla data di presentazione delle dichiarazioni di cui al comma 1, alla determinazione della rendita catastale definitiva. È facoltà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amministrazione finanziaria di verificare, ai sensi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art.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4, comma 21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, del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decreto-legge 19 dicembre 1984, n. 853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 xml:space="preserve">, convertito, 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lastRenderedPageBreak/>
        <w:t>con modificazioni, dalla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legge 17 febbraio 1985, n. 17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le caratteristiche degli immobili oggetto delle dichiarazioni di cui al comma 1 ed eventualmente modificarne le risultanze censuarie iscritte in catasto. Per il primo biennio di applicazione delle suddette disposizioni, il predetto termine è fissato in ventiquattro mesi, a partire dalla data fissata dal provvedimento indicato al comma 1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bookmarkStart w:id="7" w:name="5up"/>
      <w:r w:rsidRPr="00F52E0D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(5)</w:t>
      </w:r>
      <w:bookmarkEnd w:id="7"/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4. Gli atti di aggiornamento geometrico di cui 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art.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8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della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legge 1° ottobre 1969, n. 679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ed agli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articoli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5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e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7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del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decreto del Presidente della Repubblica 26 ottobre 1972, n. 650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e le denunce di variazione, di cui 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art. 27 del testo unico delle imposte sui redditi, approvato con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decreto del Presidente della Repubblica 22 dicembre 1986, n. 917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sono redatti conformemente ai modelli e alle procedure vigenti o in uso alla data di presentazione degli atti stessi. Le denunce di variazione sono redatte in conformità al modello 26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riportato nell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allegato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B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5. Le modalità di presentazione e trattazione dei tipi mappali vengono uniformate a quelle previste per i tipi di frazionamento, qualora detti tipi comportino costituzione di corti urbane, previo stralcio da particelle di maggiori dimensioni.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6. Ai fini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iscrizione in catasto, le unità immobiliari oggetto delle dichiarazioni di cui al comma 1, nonché delle particelle presenti negli atti e denunce di cui al comma 4, sono individuate attraverso parametri di identificazione definitivi, rappresentati da sezione, foglio, numero di mappale e di eventuale subalterno. Nell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ipotesi in cui non risultino ancora attribuiti, detti parametri vengono assegnati dall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ufficio tecnico erariale, su istanza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interessato, entro quindici giorni dalla data di presentazione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istanza medesima.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7. Le dichiarazioni di cui al comma 1, nonché gli atti e le denunce di cui al comma 4, sono presentati su supporto magnetico secondo le istruzioni fornite dal dipartimento del territorio e le procedure vigenti al momento della presentazione degli atti, a partire dalla data che viene comunicata agli ordini e collegi professionali dagli uffici periferici. A tal fine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amministrazione finanziaria mette a disposizione programmi di ausilio alla redazione automatizzata dei suddetti documenti. Tali documenti sono destinati 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aggiornamento automatico e continuo degli archivi catastali e al rilascio di consultazioni o certificazioni con modalità informatizzate. La loro definizione si completa solo con la variazione dei dati catastali in atti.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lastRenderedPageBreak/>
        <w:t>8. I tipi di frazionamento o i tipi mappali di cui al comma 4, ad eccezione di quelli finalizzati a procedimenti amministrativi iniziati d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 xml:space="preserve">ufficio, sono sottoscritti dai soggetti che hanno la </w:t>
      </w:r>
      <w:proofErr w:type="spellStart"/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titolarietà</w:t>
      </w:r>
      <w:proofErr w:type="spellEnd"/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 xml:space="preserve"> di diritti reali sui beni interessati dalle variazioni e dal tecnico che li ha redatti. Di tali elaborati viene fatta menzione negli atti traslativi, costitutivi o estintivi di diritti reali sulle particelle individuate dagli elaborati medesimi, nonché nelle relative note di trascrizione.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9. Per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attestazione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avvenuta presentazione delle dichiarazioni di cui al comma 1, nonché degli atti e delle denunce di cui al comma 4,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ufficio rilascia al dichiarante una copia degli esiti delle elaborazioni effettuate.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10.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ufficio notifica al contribuente le risultanze delle dichiarazioni di cui al comma 1 nei soli casi in cui abbia apportato variazioni a quelle denunciate o proposte dalla parte.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11. La documentazione, presentata ai sensi dei precedenti commi, è conservata secondo le disposizioni vigenti e le istruzioni di cui al comma 7.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8" w:name="4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(4)</w:t>
      </w:r>
      <w:bookmarkEnd w:id="8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 In attuazione di quanto disposto dal presente comma vedi il </w:t>
      </w:r>
      <w:proofErr w:type="spellStart"/>
      <w:r w:rsidRPr="00F52E0D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Provv</w:t>
      </w:r>
      <w:proofErr w:type="spellEnd"/>
      <w:r w:rsidRPr="00F52E0D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. 3 dicembre 2003</w:t>
      </w:r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9" w:name="5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(5)</w:t>
      </w:r>
      <w:bookmarkEnd w:id="9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La Corte costituzionale, con sentenza 7-20 aprile 2008, n. 162 (</w:t>
      </w:r>
      <w:proofErr w:type="spellStart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Gazz</w:t>
      </w:r>
      <w:proofErr w:type="spellEnd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. Uff. 28 maggio 2008, n. 23, 1ª Serie speciale), ha dichiarato manifestamente inammissibile la questione di legittimità costituzionale dell’art. 1, comma 3, sollevata in riferimento agli articoli 3, 24 e 97 della Costituzione. La stessa Corte, con successiva ordinanza 23-27 febbraio 2009, n. 59 (</w:t>
      </w:r>
      <w:proofErr w:type="spellStart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Gazz</w:t>
      </w:r>
      <w:proofErr w:type="spellEnd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. Uff. 4 marzo 2009, n. 9, 1ª Serie speciale), ha dichiarato la manifesta inammissibilità della questione di legittimità costituzionale dell’art. 1, comma 3, sollevata in riferimento agli articoli 3, 24 e 97 della Costituzione.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 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b/>
          <w:bCs/>
          <w:color w:val="000000" w:themeColor="text1"/>
          <w:sz w:val="27"/>
          <w:lang w:eastAsia="it-IT"/>
        </w:rPr>
        <w:t>2.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Volture.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1. Con provvedimento del direttore generale del dipartimento del territorio, da pubblicare nella Gazzetta Ufficiale, viene fissata la data, a partire dalla quale le volture catastali relative ad atti civili, giudiziari e amministrativi, la cui trascrizione viene eseguita presso conservatorie dei registri immobiliari meccanizzate, sono eseguite automaticamente ai sensi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art. 2, comma 1-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septies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del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decreto-legge 23 gennaio 1993, n. 16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convertito, con modificazioni, dalla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legge 24 marzo 1993, n. 75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. Con lo stesso provvedimento vengono disciplinate le condizioni per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esenzione dall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obbligo di presentazione delle domande di voltura, relative ai suddetti atti, di cui agli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articoli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3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,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4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e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14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del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decreto del Presidente della Repubblica 26 ottobre 1972, n. 650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lastRenderedPageBreak/>
        <w:t xml:space="preserve">2. Per le volture catastali relative ad atti, la cui trascrizione viene eseguita presso conservatorie dei registri immobiliari non ancora meccanizzate, in sostituzione delle domande di cui </w:t>
      </w:r>
      <w:proofErr w:type="spellStart"/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agli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articoli</w:t>
      </w:r>
      <w:proofErr w:type="spellEnd"/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3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,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4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e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14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del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decreto del Presidente della Repubblica 26 ottobre 1972, n. 650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può essere presentata agli uffici tecnici erariali la nota di trascrizione redatta su supporto informatico, con le modalità stabilite dal decreto del Ministro delle finanze del 9 gennaio 1990, pubblicato nel supplemento ordinario n. 8 alla Gazzetta Ufficiale n. 25 del 1° febbraio 1990, a partire dalla data che viene comunicata agli ordini ed ai collegi professionali dagli uffici periferici. A tal fine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amministrazione finanziaria mette a disposizione programmi di ausilio alla redazione automatizzata dei suddetti documenti.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3. Ai fini della registrazione di variazioni di diritti censiti in catasto, le unità immobiliari e le particelle sono individuate attraverso i parametri di identificazione definitivi, rappresentati da sezione, foglio, numero di mappale e di eventuale subalterno. Nell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ipotesi in cui non risultino ancora attribuiti, tali parametri vengono assegnati dall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ufficio tecnico erariale con le modalità ed entro i termini indicati nel comma 6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art. 1.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4. Qualora non vi sia concordanza tra la situazione dei soggetti titolari del diritto di proprietà o di altri diritti reali e le corrispondenti scritture catastali, è fatto obbligo al notaio ed agli altri pubblici ufficiali che ricevono atti o autenticano firme su atti civili, giudiziari e amministrativi, che danno origine a variazione di diritti censiti in catasto, di fare menzione, nell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atto medesimo e nella relativa nota di trascrizione, dei titoli che hanno dato luogo ai trasferimenti intermedi o delle discordanze.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5. Nel caso in cui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atto traslativo non sia stato preceduto da una dichiarazione di nuova costruzione o di variazione, secondo le modalità previste dal presente regolamento, nello stesso atto, nonché nella relativa nota di trascrizione, è fatto obbligo al notaio ed agli altri pubblici ufficiali roganti di riportare la superficie convenzionale catastale, espressa in metri quadrati, in conformità alle istruzioni previste dall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art. 1, comma 2, del presente regolamento. Tale superficie è certificata da un tecnico ed accompagnata da planimetria catastale conforme a quella già presentata in catasto e relativa alla unità immobiliare urbana oggetto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atto medesimo. La planimetria è presentata con le modalità prescritte dall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 xml:space="preserve">amministrazione finanziaria. I documenti di cui sopra e le note di trascrizione sono presentati agli 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lastRenderedPageBreak/>
        <w:t>uffici delle conservatorie dei registri immobiliari e sono conservati secondo le disposizioni normative vigenti.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6. Le disposizioni di cui ai commi precedenti si applicano anche ai soggetti obbligati alla presentazione delle dichiarazioni di successione ai sensi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art. 28 del testo unico delle disposizioni concernenti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imposta sulle successioni e donazioni, approvato con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decreto legislativo 31 ottobre 1990, n. 346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.</w:t>
      </w:r>
    </w:p>
    <w:p w:rsid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7"/>
          <w:lang w:eastAsia="it-IT"/>
        </w:rPr>
      </w:pP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b/>
          <w:bCs/>
          <w:color w:val="000000" w:themeColor="text1"/>
          <w:sz w:val="27"/>
          <w:lang w:eastAsia="it-IT"/>
        </w:rPr>
        <w:t>3.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Trasmissione in via telematica.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1. I documenti di cui agli articoli 1 e 2, possono essere trasmessi per via telematica 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ufficio competente, mediante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utilizzo del programma di ausilio distribuito dall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amministrazione finanziaria, e con le modalità e le procedure dalla stessa definite, a partire dalla data che viene comunicata agli ordini e collegi professionali dagli uffici tecnici erariali interessati.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 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b/>
          <w:bCs/>
          <w:color w:val="000000" w:themeColor="text1"/>
          <w:sz w:val="27"/>
          <w:lang w:eastAsia="it-IT"/>
        </w:rPr>
        <w:t>4.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Aggiornamento.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1. Nel caso in cui le unità immobiliari, oggetto di dichiarazioni di nuova costruzione o di variazione, risultino prive di rendita catastale, può essere presentata agli uffici tecnici erariali una dichiarazione sostitutiva, con le modalità ed i supporti informatici previsti dall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art. 1 e dal successivo comma 3.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2. È consentito ai proprietari o ai titolari di altro diritto reale di aggiornare la posizione catastale, relativa ai soggetti o ai beni, mediante presentazione di domanda di voltura corredata da relazione notarile, alla quale, ove la discordanza interessi i beni, è annessa apposita relazione tecnica, redatta da professionista abilitato alla presentazione di documenti tecnici e catastali. La relazione notarile contiene gli estremi dei titoli pregressi, delle relative trascrizioni che hanno dato luogo a trasferimenti, costituzioni o estinzioni di diritti reali, e delle correlative domande di voltura, nonché altri elementi comunque giustificativi della legittimità delle variazioni catastali richieste.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3. Le dichiarazioni di cui al comma 1, nonché le domande di voltura, di cui al comma 2 e 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 xml:space="preserve">art. 2, sono presentate su supporto 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lastRenderedPageBreak/>
        <w:t>informatico, le cui modalità di redazione ed elaborazione sono stabilite con provvedimento del direttore generale del dipartimento del territorio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bookmarkStart w:id="10" w:name="6up"/>
      <w:r w:rsidRPr="00F52E0D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(6)</w:t>
      </w:r>
      <w:bookmarkEnd w:id="10"/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4. Gli uffici tecnici erariali possono utilizzare, ai sensi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art. 2, comma 1-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quinquies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del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decreto-legge 23 gennaio 1993, n. 16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convertito, con modificazioni, dalla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legge 24 marzo 1993, n. 75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le informazioni in possesso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amministrazione finanziaria per integrare i dati relativi alle unità immobiliari ed ai soggetti, iscritti in catasto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bookmarkStart w:id="11" w:name="7up"/>
      <w:r w:rsidRPr="00F52E0D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(7)</w:t>
      </w:r>
      <w:bookmarkEnd w:id="11"/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12" w:name="6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(6)</w:t>
      </w:r>
      <w:bookmarkEnd w:id="12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 Le modalità, le condizioni ed i termini per l’esecuzione automatica delle volture catastali, sono stati stabiliti con </w:t>
      </w:r>
      <w:proofErr w:type="spellStart"/>
      <w:r w:rsidRPr="00F52E0D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D.Dirett</w:t>
      </w:r>
      <w:proofErr w:type="spellEnd"/>
      <w:r w:rsidRPr="00F52E0D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. 23 dicembre 1997</w:t>
      </w:r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13" w:name="7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(7)</w:t>
      </w:r>
      <w:bookmarkEnd w:id="13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 Vedi, anche, il comma 374 dell’art. 1, L. 30 dicembre 2004, n. 311.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 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b/>
          <w:bCs/>
          <w:color w:val="000000" w:themeColor="text1"/>
          <w:sz w:val="27"/>
          <w:lang w:eastAsia="it-IT"/>
        </w:rPr>
        <w:t>5.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Disposizioni generali.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1. Gli elaborati prodotti conformemente alle procedure informatiche fornite dal dipartimento del territorio hanno efficacia equivalente ai corrispondenti modelli cartacei vigenti o in uso alla data di presentazione dei relativi atti di aggiornamento.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2. I programmi o i supporti informatici di cui agli articoli 1, comma 7, 2, commi 2 e 5, 3 e 4, comma 3, nonché gli aggiornamenti e le relative istruzioni, sono forniti gratuitamente dal dipartimento del territorio ai consigli nazionali delle categorie professionali abilitate alla presentazione degli atti di aggiornamento catastale. È cura dei suddetti consigli nazionali, anche attraverso i rispettivi organi provinciali, rendere pubblici e diffondere i supporti informatici e le relative istruzioni.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3. I modelli, le formalità e le procedure per gli adempimenti degli obblighi di cui al presente regolamento possono essere modificati o integrati, anche in relazione agli sviluppi tecnologici dei sistemi informatici in dotazione 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amministrazione finanziaria, con provvedimento del direttore generale del dipartimento del territorio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bookmarkStart w:id="14" w:name="8up"/>
      <w:r w:rsidRPr="00F52E0D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(8)</w:t>
      </w:r>
      <w:bookmarkEnd w:id="14"/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4. Al fine di perseguire obiettivi di massima trasparenza nei rapporti con i contribuenti, e di fornire strumenti di sicura efficacia e di univoco riferimento agli operatori interni ed esterni 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amministrazione finanziaria, il dipartimento del territorio provvede a raccogliere le disposizioni contenute o previste dal presente regolamento e dall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art.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9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del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 decreto-legge 30 dicembre 1993, n. 557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convertito, con modificazioni, dalla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legge 26 febbraio 1994, n. 133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 xml:space="preserve">, nonché quelle da 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lastRenderedPageBreak/>
        <w:t>emanare ai sensi dell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art. 2, commi 1, 1-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szCs w:val="27"/>
          <w:lang w:eastAsia="it-IT"/>
        </w:rPr>
        <w:t>sexies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e 2 del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decreto-legge 23 gennaio 1993, n. 16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convertito, con modificazioni, dalla</w:t>
      </w:r>
      <w:r w:rsidRPr="00F52E0D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F52E0D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legge 24 marzo 1993, n. 75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con 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intero corpo delle disposizioni che disciplinano attualmente le procedure di conservazione dei catasti urbano e terreni.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15" w:name="8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(8)</w:t>
      </w:r>
      <w:bookmarkEnd w:id="15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 Con </w:t>
      </w:r>
      <w:proofErr w:type="spellStart"/>
      <w:r w:rsidRPr="00F52E0D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D.Dirett</w:t>
      </w:r>
      <w:proofErr w:type="spellEnd"/>
      <w:r w:rsidRPr="00F52E0D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. 7 novembre 2001</w:t>
      </w:r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si è provveduto a disciplinare la presentazione delle planimetrie degli immobili urbani e degli elaborati grafici, nonché dei relativi dati metrici, su supporto informatico unitamente alle dichiarazioni di nuova costruzione e di variazione di unità immobiliari da presentare agli uffici dell’Agenzia del territorio. Con </w:t>
      </w:r>
      <w:proofErr w:type="spellStart"/>
      <w:r w:rsidRPr="00F52E0D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Provv</w:t>
      </w:r>
      <w:proofErr w:type="spellEnd"/>
      <w:r w:rsidRPr="00F52E0D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. 23 febbraio 2006</w:t>
      </w:r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 xml:space="preserve">sono state approvate le nuove specifiche tecniche e la procedura </w:t>
      </w:r>
      <w:proofErr w:type="spellStart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Pregeo</w:t>
      </w:r>
      <w:proofErr w:type="spellEnd"/>
      <w:r w:rsidRPr="00F52E0D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 xml:space="preserve"> 9 per la predisposizione degli atti di aggiornamento geometrico.</w:t>
      </w:r>
    </w:p>
    <w:p w:rsidR="00F52E0D" w:rsidRPr="00F52E0D" w:rsidRDefault="00F52E0D" w:rsidP="00F52E0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F52E0D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 </w:t>
      </w:r>
    </w:p>
    <w:p w:rsidR="00CB137C" w:rsidRPr="00F52E0D" w:rsidRDefault="00CB137C">
      <w:pPr>
        <w:rPr>
          <w:color w:val="000000" w:themeColor="text1"/>
        </w:rPr>
      </w:pPr>
    </w:p>
    <w:sectPr w:rsidR="00CB137C" w:rsidRPr="00F52E0D" w:rsidSect="00CB1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2E0D"/>
    <w:rsid w:val="00CB137C"/>
    <w:rsid w:val="00F5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3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F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52E0D"/>
  </w:style>
  <w:style w:type="character" w:styleId="Collegamentoipertestuale">
    <w:name w:val="Hyperlink"/>
    <w:basedOn w:val="Carpredefinitoparagrafo"/>
    <w:uiPriority w:val="99"/>
    <w:semiHidden/>
    <w:unhideWhenUsed/>
    <w:rsid w:val="00F52E0D"/>
    <w:rPr>
      <w:color w:val="0000FF"/>
      <w:u w:val="single"/>
    </w:rPr>
  </w:style>
  <w:style w:type="paragraph" w:customStyle="1" w:styleId="provvr0">
    <w:name w:val="provv_r0"/>
    <w:basedOn w:val="Normale"/>
    <w:rsid w:val="00F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F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c">
    <w:name w:val="provv_c"/>
    <w:basedOn w:val="Normale"/>
    <w:rsid w:val="00F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art">
    <w:name w:val="provv_numart"/>
    <w:basedOn w:val="Carpredefinitoparagrafo"/>
    <w:rsid w:val="00F52E0D"/>
  </w:style>
  <w:style w:type="character" w:customStyle="1" w:styleId="provvrubrica">
    <w:name w:val="provv_rubrica"/>
    <w:basedOn w:val="Carpredefinitoparagrafo"/>
    <w:rsid w:val="00F52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2867</Words>
  <Characters>16344</Characters>
  <Application>Microsoft Office Word</Application>
  <DocSecurity>0</DocSecurity>
  <Lines>136</Lines>
  <Paragraphs>38</Paragraphs>
  <ScaleCrop>false</ScaleCrop>
  <Company/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2014-05-29T09:29:00Z</dcterms:created>
  <dcterms:modified xsi:type="dcterms:W3CDTF">2014-05-29T09:32:00Z</dcterms:modified>
</cp:coreProperties>
</file>