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5C" w:rsidRPr="00A7655C" w:rsidRDefault="00A7655C" w:rsidP="00A7655C">
      <w:pPr>
        <w:spacing w:before="100" w:beforeAutospacing="1" w:after="100" w:afterAutospacing="1" w:line="240" w:lineRule="auto"/>
        <w:jc w:val="both"/>
        <w:rPr>
          <w:rFonts w:ascii="Verdana" w:eastAsia="Times New Roman" w:hAnsi="Verdana" w:cs="Times New Roman"/>
          <w:b/>
          <w:bCs/>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Circ. 18 novembre 2011, n. 7/T</w:t>
      </w:r>
      <w:bookmarkStart w:id="0" w:name="1up"/>
      <w:r w:rsidRPr="00C76875">
        <w:rPr>
          <w:rFonts w:ascii="Verdana" w:eastAsia="Times New Roman" w:hAnsi="Verdana" w:cs="Times New Roman"/>
          <w:b/>
          <w:bCs/>
          <w:color w:val="000000" w:themeColor="text1"/>
          <w:sz w:val="14"/>
          <w:vertAlign w:val="superscript"/>
          <w:lang w:eastAsia="it-IT"/>
        </w:rPr>
        <w:t>(1)</w:t>
      </w:r>
      <w:bookmarkEnd w:id="0"/>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Attribuzione della rendita presunta, modalità di gestione dei connessi aggiornamenti negli atti del catasto, trattazione e notifica degli esiti.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16"/>
          <w:szCs w:val="16"/>
          <w:lang w:eastAsia="it-IT"/>
        </w:rPr>
      </w:pPr>
      <w:bookmarkStart w:id="1" w:name="1"/>
      <w:r w:rsidRPr="00C76875">
        <w:rPr>
          <w:rFonts w:ascii="Verdana" w:eastAsia="Times New Roman" w:hAnsi="Verdana" w:cs="Times New Roman"/>
          <w:color w:val="000000" w:themeColor="text1"/>
          <w:sz w:val="16"/>
          <w:szCs w:val="16"/>
          <w:lang w:eastAsia="it-IT"/>
        </w:rPr>
        <w:t>(1)</w:t>
      </w:r>
      <w:bookmarkEnd w:id="1"/>
      <w:r w:rsidRPr="00C76875">
        <w:rPr>
          <w:rFonts w:ascii="Verdana" w:eastAsia="Times New Roman" w:hAnsi="Verdana" w:cs="Times New Roman"/>
          <w:color w:val="000000" w:themeColor="text1"/>
          <w:sz w:val="16"/>
          <w:szCs w:val="16"/>
          <w:lang w:eastAsia="it-IT"/>
        </w:rPr>
        <w:t> </w:t>
      </w:r>
      <w:r w:rsidRPr="00A7655C">
        <w:rPr>
          <w:rFonts w:ascii="Verdana" w:eastAsia="Times New Roman" w:hAnsi="Verdana" w:cs="Times New Roman"/>
          <w:color w:val="000000" w:themeColor="text1"/>
          <w:sz w:val="16"/>
          <w:szCs w:val="16"/>
          <w:lang w:eastAsia="it-IT"/>
        </w:rPr>
        <w:t>Emanata dall</w:t>
      </w:r>
      <w:r w:rsidR="00C76875" w:rsidRPr="00C76875">
        <w:rPr>
          <w:rFonts w:ascii="Verdana" w:eastAsia="Times New Roman" w:hAnsi="Verdana" w:cs="Times New Roman"/>
          <w:color w:val="000000" w:themeColor="text1"/>
          <w:sz w:val="16"/>
          <w:szCs w:val="16"/>
          <w:lang w:eastAsia="it-IT"/>
        </w:rPr>
        <w:t>’</w:t>
      </w:r>
      <w:r w:rsidRPr="00A7655C">
        <w:rPr>
          <w:rFonts w:ascii="Verdana" w:eastAsia="Times New Roman" w:hAnsi="Verdana" w:cs="Times New Roman"/>
          <w:color w:val="000000" w:themeColor="text1"/>
          <w:sz w:val="16"/>
          <w:szCs w:val="16"/>
          <w:lang w:eastAsia="it-IT"/>
        </w:rPr>
        <w:t>Agenzia del territorio, Direzione centrale catasto e cartografia, d</w:t>
      </w:r>
      <w:r w:rsidR="00C76875" w:rsidRPr="00C76875">
        <w:rPr>
          <w:rFonts w:ascii="Verdana" w:eastAsia="Times New Roman" w:hAnsi="Verdana" w:cs="Times New Roman"/>
          <w:color w:val="000000" w:themeColor="text1"/>
          <w:sz w:val="16"/>
          <w:szCs w:val="16"/>
          <w:lang w:eastAsia="it-IT"/>
        </w:rPr>
        <w:t>’</w:t>
      </w:r>
      <w:r w:rsidRPr="00A7655C">
        <w:rPr>
          <w:rFonts w:ascii="Verdana" w:eastAsia="Times New Roman" w:hAnsi="Verdana" w:cs="Times New Roman"/>
          <w:color w:val="000000" w:themeColor="text1"/>
          <w:sz w:val="16"/>
          <w:szCs w:val="16"/>
          <w:lang w:eastAsia="it-IT"/>
        </w:rPr>
        <w:t>intesa con Direzione centrale pubblicità immobiliare e affari legali e Direzione centrale sistemi informativi.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w:t>
      </w:r>
    </w:p>
    <w:tbl>
      <w:tblPr>
        <w:tblW w:w="8625" w:type="dxa"/>
        <w:jc w:val="center"/>
        <w:tblCellSpacing w:w="0" w:type="dxa"/>
        <w:tblCellMar>
          <w:left w:w="0" w:type="dxa"/>
          <w:right w:w="0" w:type="dxa"/>
        </w:tblCellMar>
        <w:tblLook w:val="04A0"/>
      </w:tblPr>
      <w:tblGrid>
        <w:gridCol w:w="4110"/>
        <w:gridCol w:w="4515"/>
      </w:tblGrid>
      <w:tr w:rsidR="00A7655C" w:rsidRPr="00A7655C" w:rsidTr="00A7655C">
        <w:trPr>
          <w:tblCellSpacing w:w="0" w:type="dxa"/>
          <w:jc w:val="center"/>
        </w:trPr>
        <w:tc>
          <w:tcPr>
            <w:tcW w:w="0" w:type="auto"/>
            <w:tcMar>
              <w:top w:w="0" w:type="dxa"/>
              <w:left w:w="70" w:type="dxa"/>
              <w:bottom w:w="0" w:type="dxa"/>
              <w:right w:w="70" w:type="dxa"/>
            </w:tcMar>
            <w:hideMark/>
          </w:tcPr>
          <w:p w:rsidR="00A7655C" w:rsidRPr="00A7655C" w:rsidRDefault="00A7655C" w:rsidP="00A7655C">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A7655C">
              <w:rPr>
                <w:rFonts w:ascii="Times New Roman" w:eastAsia="Times New Roman" w:hAnsi="Times New Roman" w:cs="Times New Roman"/>
                <w:color w:val="000000" w:themeColor="text1"/>
                <w:sz w:val="17"/>
                <w:szCs w:val="17"/>
                <w:lang w:eastAsia="it-IT"/>
              </w:rPr>
              <w:t>Alle</w:t>
            </w:r>
          </w:p>
        </w:tc>
        <w:tc>
          <w:tcPr>
            <w:tcW w:w="0" w:type="auto"/>
            <w:tcMar>
              <w:top w:w="0" w:type="dxa"/>
              <w:left w:w="70" w:type="dxa"/>
              <w:bottom w:w="0" w:type="dxa"/>
              <w:right w:w="70" w:type="dxa"/>
            </w:tcMar>
            <w:hideMark/>
          </w:tcPr>
          <w:p w:rsidR="00A7655C" w:rsidRPr="00A7655C" w:rsidRDefault="00A7655C" w:rsidP="00A7655C">
            <w:pPr>
              <w:spacing w:before="100" w:beforeAutospacing="1" w:after="100" w:afterAutospacing="1" w:line="240" w:lineRule="auto"/>
              <w:jc w:val="both"/>
              <w:rPr>
                <w:rFonts w:ascii="Times New Roman" w:eastAsia="Times New Roman" w:hAnsi="Times New Roman" w:cs="Times New Roman"/>
                <w:color w:val="000000" w:themeColor="text1"/>
                <w:sz w:val="17"/>
                <w:szCs w:val="17"/>
                <w:lang w:eastAsia="it-IT"/>
              </w:rPr>
            </w:pPr>
            <w:r w:rsidRPr="00A7655C">
              <w:rPr>
                <w:rFonts w:ascii="Times New Roman" w:eastAsia="Times New Roman" w:hAnsi="Times New Roman" w:cs="Times New Roman"/>
                <w:color w:val="000000" w:themeColor="text1"/>
                <w:sz w:val="17"/>
                <w:szCs w:val="17"/>
                <w:lang w:eastAsia="it-IT"/>
              </w:rPr>
              <w:t>Direzioni centrali</w:t>
            </w:r>
          </w:p>
        </w:tc>
      </w:tr>
      <w:tr w:rsidR="00A7655C" w:rsidRPr="00A7655C" w:rsidTr="00A7655C">
        <w:trPr>
          <w:tblCellSpacing w:w="0" w:type="dxa"/>
          <w:jc w:val="center"/>
        </w:trPr>
        <w:tc>
          <w:tcPr>
            <w:tcW w:w="0" w:type="auto"/>
            <w:tcMar>
              <w:top w:w="0" w:type="dxa"/>
              <w:left w:w="70" w:type="dxa"/>
              <w:bottom w:w="0" w:type="dxa"/>
              <w:right w:w="70" w:type="dxa"/>
            </w:tcMar>
            <w:hideMark/>
          </w:tcPr>
          <w:p w:rsidR="00A7655C" w:rsidRPr="00A7655C" w:rsidRDefault="00A7655C" w:rsidP="00A7655C">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A7655C">
              <w:rPr>
                <w:rFonts w:ascii="Times New Roman" w:eastAsia="Times New Roman" w:hAnsi="Times New Roman" w:cs="Times New Roman"/>
                <w:color w:val="000000" w:themeColor="text1"/>
                <w:sz w:val="17"/>
                <w:szCs w:val="17"/>
                <w:lang w:eastAsia="it-IT"/>
              </w:rPr>
              <w:t>Alle</w:t>
            </w:r>
          </w:p>
        </w:tc>
        <w:tc>
          <w:tcPr>
            <w:tcW w:w="0" w:type="auto"/>
            <w:tcMar>
              <w:top w:w="0" w:type="dxa"/>
              <w:left w:w="70" w:type="dxa"/>
              <w:bottom w:w="0" w:type="dxa"/>
              <w:right w:w="70" w:type="dxa"/>
            </w:tcMar>
            <w:hideMark/>
          </w:tcPr>
          <w:p w:rsidR="00A7655C" w:rsidRPr="00A7655C" w:rsidRDefault="00A7655C" w:rsidP="00A7655C">
            <w:pPr>
              <w:spacing w:before="100" w:beforeAutospacing="1" w:after="100" w:afterAutospacing="1" w:line="240" w:lineRule="auto"/>
              <w:jc w:val="both"/>
              <w:rPr>
                <w:rFonts w:ascii="Times New Roman" w:eastAsia="Times New Roman" w:hAnsi="Times New Roman" w:cs="Times New Roman"/>
                <w:color w:val="000000" w:themeColor="text1"/>
                <w:sz w:val="17"/>
                <w:szCs w:val="17"/>
                <w:lang w:eastAsia="it-IT"/>
              </w:rPr>
            </w:pPr>
            <w:r w:rsidRPr="00A7655C">
              <w:rPr>
                <w:rFonts w:ascii="Times New Roman" w:eastAsia="Times New Roman" w:hAnsi="Times New Roman" w:cs="Times New Roman"/>
                <w:color w:val="000000" w:themeColor="text1"/>
                <w:sz w:val="17"/>
                <w:szCs w:val="17"/>
                <w:lang w:eastAsia="it-IT"/>
              </w:rPr>
              <w:t>Direzioni regionali</w:t>
            </w:r>
          </w:p>
        </w:tc>
      </w:tr>
      <w:tr w:rsidR="00A7655C" w:rsidRPr="00A7655C" w:rsidTr="00A7655C">
        <w:trPr>
          <w:tblCellSpacing w:w="0" w:type="dxa"/>
          <w:jc w:val="center"/>
        </w:trPr>
        <w:tc>
          <w:tcPr>
            <w:tcW w:w="0" w:type="auto"/>
            <w:tcMar>
              <w:top w:w="0" w:type="dxa"/>
              <w:left w:w="70" w:type="dxa"/>
              <w:bottom w:w="0" w:type="dxa"/>
              <w:right w:w="70" w:type="dxa"/>
            </w:tcMar>
            <w:hideMark/>
          </w:tcPr>
          <w:p w:rsidR="00A7655C" w:rsidRPr="00A7655C" w:rsidRDefault="00A7655C" w:rsidP="00A7655C">
            <w:pPr>
              <w:spacing w:before="100" w:beforeAutospacing="1" w:after="100" w:afterAutospacing="1" w:line="240" w:lineRule="auto"/>
              <w:jc w:val="right"/>
              <w:rPr>
                <w:rFonts w:ascii="Times New Roman" w:eastAsia="Times New Roman" w:hAnsi="Times New Roman" w:cs="Times New Roman"/>
                <w:color w:val="000000" w:themeColor="text1"/>
                <w:sz w:val="17"/>
                <w:szCs w:val="17"/>
                <w:lang w:eastAsia="it-IT"/>
              </w:rPr>
            </w:pPr>
            <w:r w:rsidRPr="00A7655C">
              <w:rPr>
                <w:rFonts w:ascii="Times New Roman" w:eastAsia="Times New Roman" w:hAnsi="Times New Roman" w:cs="Times New Roman"/>
                <w:color w:val="000000" w:themeColor="text1"/>
                <w:sz w:val="17"/>
                <w:szCs w:val="17"/>
                <w:lang w:eastAsia="it-IT"/>
              </w:rPr>
              <w:t>Agli</w:t>
            </w:r>
          </w:p>
        </w:tc>
        <w:tc>
          <w:tcPr>
            <w:tcW w:w="0" w:type="auto"/>
            <w:tcMar>
              <w:top w:w="0" w:type="dxa"/>
              <w:left w:w="70" w:type="dxa"/>
              <w:bottom w:w="0" w:type="dxa"/>
              <w:right w:w="70" w:type="dxa"/>
            </w:tcMar>
            <w:hideMark/>
          </w:tcPr>
          <w:p w:rsidR="00A7655C" w:rsidRPr="00A7655C" w:rsidRDefault="00A7655C" w:rsidP="00A7655C">
            <w:pPr>
              <w:spacing w:before="100" w:beforeAutospacing="1" w:after="100" w:afterAutospacing="1" w:line="240" w:lineRule="auto"/>
              <w:jc w:val="both"/>
              <w:rPr>
                <w:rFonts w:ascii="Times New Roman" w:eastAsia="Times New Roman" w:hAnsi="Times New Roman" w:cs="Times New Roman"/>
                <w:color w:val="000000" w:themeColor="text1"/>
                <w:sz w:val="17"/>
                <w:szCs w:val="17"/>
                <w:lang w:eastAsia="it-IT"/>
              </w:rPr>
            </w:pPr>
            <w:r w:rsidRPr="00A7655C">
              <w:rPr>
                <w:rFonts w:ascii="Times New Roman" w:eastAsia="Times New Roman" w:hAnsi="Times New Roman" w:cs="Times New Roman"/>
                <w:color w:val="000000" w:themeColor="text1"/>
                <w:sz w:val="17"/>
                <w:szCs w:val="17"/>
                <w:lang w:eastAsia="it-IT"/>
              </w:rPr>
              <w:t>Uffici provinciali</w:t>
            </w:r>
          </w:p>
        </w:tc>
      </w:tr>
      <w:tr w:rsidR="00A7655C" w:rsidRPr="00A7655C" w:rsidTr="00A7655C">
        <w:trPr>
          <w:tblCellSpacing w:w="0" w:type="dxa"/>
          <w:jc w:val="center"/>
        </w:trPr>
        <w:tc>
          <w:tcPr>
            <w:tcW w:w="4110" w:type="dxa"/>
            <w:vAlign w:val="center"/>
            <w:hideMark/>
          </w:tcPr>
          <w:p w:rsidR="00A7655C" w:rsidRPr="00A7655C" w:rsidRDefault="00A7655C" w:rsidP="00A7655C">
            <w:pPr>
              <w:spacing w:after="0" w:line="240" w:lineRule="auto"/>
              <w:rPr>
                <w:rFonts w:ascii="Times New Roman" w:eastAsia="Times New Roman" w:hAnsi="Times New Roman" w:cs="Times New Roman"/>
                <w:color w:val="000000" w:themeColor="text1"/>
                <w:sz w:val="17"/>
                <w:szCs w:val="17"/>
                <w:lang w:eastAsia="it-IT"/>
              </w:rPr>
            </w:pPr>
          </w:p>
        </w:tc>
        <w:tc>
          <w:tcPr>
            <w:tcW w:w="4515" w:type="dxa"/>
            <w:vAlign w:val="center"/>
            <w:hideMark/>
          </w:tcPr>
          <w:p w:rsidR="00A7655C" w:rsidRPr="00A7655C" w:rsidRDefault="00A7655C" w:rsidP="00A7655C">
            <w:pPr>
              <w:spacing w:after="0" w:line="240" w:lineRule="auto"/>
              <w:rPr>
                <w:rFonts w:ascii="Times New Roman" w:eastAsia="Times New Roman" w:hAnsi="Times New Roman" w:cs="Times New Roman"/>
                <w:color w:val="000000" w:themeColor="text1"/>
                <w:sz w:val="17"/>
                <w:szCs w:val="17"/>
                <w:lang w:eastAsia="it-IT"/>
              </w:rPr>
            </w:pPr>
          </w:p>
        </w:tc>
      </w:tr>
    </w:tbl>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C76875">
        <w:rPr>
          <w:rFonts w:ascii="Verdana" w:eastAsia="Times New Roman" w:hAnsi="Verdana" w:cs="Times New Roman"/>
          <w:b/>
          <w:bCs/>
          <w:color w:val="000000" w:themeColor="text1"/>
          <w:sz w:val="27"/>
          <w:lang w:eastAsia="it-IT"/>
        </w:rPr>
        <w:t>1.</w:t>
      </w:r>
      <w:r w:rsidRPr="00A7655C">
        <w:rPr>
          <w:rFonts w:ascii="Verdana" w:eastAsia="Times New Roman" w:hAnsi="Verdana" w:cs="Times New Roman"/>
          <w:color w:val="000000" w:themeColor="text1"/>
          <w:sz w:val="27"/>
          <w:szCs w:val="27"/>
          <w:lang w:eastAsia="it-IT"/>
        </w:rPr>
        <w:t> </w:t>
      </w:r>
      <w:r w:rsidRPr="00C76875">
        <w:rPr>
          <w:rFonts w:ascii="Verdana" w:eastAsia="Times New Roman" w:hAnsi="Verdana" w:cs="Times New Roman"/>
          <w:i/>
          <w:iCs/>
          <w:color w:val="000000" w:themeColor="text1"/>
          <w:sz w:val="27"/>
          <w:lang w:eastAsia="it-IT"/>
        </w:rPr>
        <w:t>Premessa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i/>
          <w:iCs/>
          <w:color w:val="000000" w:themeColor="text1"/>
          <w:sz w:val="27"/>
          <w:szCs w:val="27"/>
          <w:lang w:eastAsia="it-IT"/>
        </w:rPr>
        <w:t>art.</w:t>
      </w:r>
      <w:r w:rsidRPr="00C76875">
        <w:rPr>
          <w:rFonts w:ascii="Verdana" w:eastAsia="Times New Roman" w:hAnsi="Verdana" w:cs="Times New Roman"/>
          <w:i/>
          <w:iCs/>
          <w:color w:val="000000" w:themeColor="text1"/>
          <w:sz w:val="27"/>
          <w:lang w:eastAsia="it-IT"/>
        </w:rPr>
        <w:t> 19 </w:t>
      </w:r>
      <w:r w:rsidRPr="00A7655C">
        <w:rPr>
          <w:rFonts w:ascii="Verdana" w:eastAsia="Times New Roman" w:hAnsi="Verdana" w:cs="Times New Roman"/>
          <w:i/>
          <w:iCs/>
          <w:color w:val="000000" w:themeColor="text1"/>
          <w:sz w:val="27"/>
          <w:szCs w:val="27"/>
          <w:lang w:eastAsia="it-IT"/>
        </w:rPr>
        <w:t>del</w:t>
      </w:r>
      <w:r w:rsidRPr="00C76875">
        <w:rPr>
          <w:rFonts w:ascii="Verdana" w:eastAsia="Times New Roman" w:hAnsi="Verdana" w:cs="Times New Roman"/>
          <w:i/>
          <w:iCs/>
          <w:color w:val="000000" w:themeColor="text1"/>
          <w:sz w:val="27"/>
          <w:lang w:eastAsia="it-IT"/>
        </w:rPr>
        <w:t> D.L. 31 maggio 2010, n. 78</w:t>
      </w:r>
      <w:r w:rsidRPr="00A7655C">
        <w:rPr>
          <w:rFonts w:ascii="Verdana" w:eastAsia="Times New Roman" w:hAnsi="Verdana" w:cs="Times New Roman"/>
          <w:color w:val="000000" w:themeColor="text1"/>
          <w:sz w:val="27"/>
          <w:szCs w:val="27"/>
          <w:lang w:eastAsia="it-IT"/>
        </w:rPr>
        <w:t>, convertito, con modificazioni, dalla</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L. 30 luglio 2010, n. 122</w:t>
      </w:r>
      <w:r w:rsidRPr="00A7655C">
        <w:rPr>
          <w:rFonts w:ascii="Verdana" w:eastAsia="Times New Roman" w:hAnsi="Verdana" w:cs="Times New Roman"/>
          <w:color w:val="000000" w:themeColor="text1"/>
          <w:sz w:val="27"/>
          <w:szCs w:val="27"/>
          <w:lang w:eastAsia="it-IT"/>
        </w:rPr>
        <w:t>, ha previsto, al comma 8,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obbligo per i titolari di diritti reali sugli immobili non dichiarati in catasto [1], individuati secondo le procedure previste dall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i/>
          <w:iCs/>
          <w:color w:val="000000" w:themeColor="text1"/>
          <w:sz w:val="27"/>
          <w:szCs w:val="27"/>
          <w:lang w:eastAsia="it-IT"/>
        </w:rPr>
        <w:t>articolo</w:t>
      </w:r>
      <w:r w:rsidRPr="00C76875">
        <w:rPr>
          <w:rFonts w:ascii="Verdana" w:eastAsia="Times New Roman" w:hAnsi="Verdana" w:cs="Times New Roman"/>
          <w:i/>
          <w:iCs/>
          <w:color w:val="000000" w:themeColor="text1"/>
          <w:sz w:val="27"/>
          <w:lang w:eastAsia="it-IT"/>
        </w:rPr>
        <w:t> 2, comma 36</w:t>
      </w:r>
      <w:r w:rsidRPr="00A7655C">
        <w:rPr>
          <w:rFonts w:ascii="Verdana" w:eastAsia="Times New Roman" w:hAnsi="Verdana" w:cs="Times New Roman"/>
          <w:i/>
          <w:iCs/>
          <w:color w:val="000000" w:themeColor="text1"/>
          <w:sz w:val="27"/>
          <w:szCs w:val="27"/>
          <w:lang w:eastAsia="it-IT"/>
        </w:rPr>
        <w:t>, del</w:t>
      </w:r>
      <w:r w:rsidRPr="00C76875">
        <w:rPr>
          <w:rFonts w:ascii="Verdana" w:eastAsia="Times New Roman" w:hAnsi="Verdana" w:cs="Times New Roman"/>
          <w:i/>
          <w:iCs/>
          <w:color w:val="000000" w:themeColor="text1"/>
          <w:sz w:val="27"/>
          <w:lang w:eastAsia="it-IT"/>
        </w:rPr>
        <w:t> D.L. 3 ottobre 2006, n. 262</w:t>
      </w:r>
      <w:r w:rsidRPr="00A7655C">
        <w:rPr>
          <w:rFonts w:ascii="Verdana" w:eastAsia="Times New Roman" w:hAnsi="Verdana" w:cs="Times New Roman"/>
          <w:color w:val="000000" w:themeColor="text1"/>
          <w:sz w:val="27"/>
          <w:szCs w:val="27"/>
          <w:lang w:eastAsia="it-IT"/>
        </w:rPr>
        <w:t>[2], di presentare le dichiarazioni per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aggiornamento del Catasto Terreni (di seguito CT) e del Catasto Edilizio Urbano (di seguito CEU), entro il termine del 31 dicembre 2010.</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Il successivo comma 10 del citato</w:t>
      </w:r>
      <w:r w:rsidRPr="00C76875">
        <w:rPr>
          <w:rFonts w:ascii="Verdana" w:eastAsia="Times New Roman" w:hAnsi="Verdana" w:cs="Times New Roman"/>
          <w:color w:val="000000" w:themeColor="text1"/>
          <w:sz w:val="27"/>
          <w:lang w:eastAsia="it-IT"/>
        </w:rPr>
        <w:t> </w:t>
      </w:r>
      <w:r w:rsidRPr="00A7655C">
        <w:rPr>
          <w:rFonts w:ascii="Verdana" w:eastAsia="Times New Roman" w:hAnsi="Verdana" w:cs="Times New Roman"/>
          <w:i/>
          <w:iCs/>
          <w:color w:val="000000" w:themeColor="text1"/>
          <w:sz w:val="27"/>
          <w:szCs w:val="27"/>
          <w:lang w:eastAsia="it-IT"/>
        </w:rPr>
        <w:t>art.</w:t>
      </w:r>
      <w:r w:rsidRPr="00C76875">
        <w:rPr>
          <w:rFonts w:ascii="Verdana" w:eastAsia="Times New Roman" w:hAnsi="Verdana" w:cs="Times New Roman"/>
          <w:i/>
          <w:iCs/>
          <w:color w:val="000000" w:themeColor="text1"/>
          <w:sz w:val="27"/>
          <w:lang w:eastAsia="it-IT"/>
        </w:rPr>
        <w:t> 19 </w:t>
      </w:r>
      <w:r w:rsidRPr="00A7655C">
        <w:rPr>
          <w:rFonts w:ascii="Verdana" w:eastAsia="Times New Roman" w:hAnsi="Verdana" w:cs="Times New Roman"/>
          <w:i/>
          <w:iCs/>
          <w:color w:val="000000" w:themeColor="text1"/>
          <w:sz w:val="27"/>
          <w:szCs w:val="27"/>
          <w:lang w:eastAsia="it-IT"/>
        </w:rPr>
        <w:t>del</w:t>
      </w:r>
      <w:r w:rsidRPr="00C76875">
        <w:rPr>
          <w:rFonts w:ascii="Verdana" w:eastAsia="Times New Roman" w:hAnsi="Verdana" w:cs="Times New Roman"/>
          <w:i/>
          <w:iCs/>
          <w:color w:val="000000" w:themeColor="text1"/>
          <w:sz w:val="27"/>
          <w:lang w:eastAsia="it-IT"/>
        </w:rPr>
        <w:t> D.L. n. 78 del 2010</w:t>
      </w:r>
      <w:r w:rsidRPr="00C76875">
        <w:rPr>
          <w:rFonts w:ascii="Verdana" w:eastAsia="Times New Roman" w:hAnsi="Verdana" w:cs="Times New Roman"/>
          <w:color w:val="000000" w:themeColor="text1"/>
          <w:sz w:val="27"/>
          <w:lang w:eastAsia="it-IT"/>
        </w:rPr>
        <w:t> </w:t>
      </w:r>
      <w:r w:rsidRPr="00A7655C">
        <w:rPr>
          <w:rFonts w:ascii="Verdana" w:eastAsia="Times New Roman" w:hAnsi="Verdana" w:cs="Times New Roman"/>
          <w:color w:val="000000" w:themeColor="text1"/>
          <w:sz w:val="27"/>
          <w:szCs w:val="27"/>
          <w:lang w:eastAsia="it-IT"/>
        </w:rPr>
        <w:t>ha poi stabilito che, in caso di inadempienza dei titolari di diritti reali sugli immobili,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Agenzia del Territorio, nelle more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iscrizione in catasto attraverso la predisposizione delle dichiarazioni redatte in conformità al</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D.M. 19 aprile 1994, n. 701</w:t>
      </w:r>
      <w:r w:rsidRPr="00A7655C">
        <w:rPr>
          <w:rFonts w:ascii="Verdana" w:eastAsia="Times New Roman" w:hAnsi="Verdana" w:cs="Times New Roman"/>
          <w:color w:val="000000" w:themeColor="text1"/>
          <w:sz w:val="27"/>
          <w:szCs w:val="27"/>
          <w:lang w:eastAsia="it-IT"/>
        </w:rPr>
        <w:t>, procede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con oneri a carico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interessato da determinare con apposito provvedimento del direttore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Agenzia del Territorio, di una rendita presunta, da iscrivere transitoriamente in catasto, anche sulla base degli elementi tecnici forniti dai Comuni.”. Lo stesso comma consente inoltre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Agenzia del Territorio di "stipulare apposite convenzioni con gli Organismi rappresentativi delle categorie professionali".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Successivamente,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articolo 2, comma 5-bis, del</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D.L. 29 dicembre 2010, n. 225</w:t>
      </w:r>
      <w:r w:rsidRPr="00A7655C">
        <w:rPr>
          <w:rFonts w:ascii="Verdana" w:eastAsia="Times New Roman" w:hAnsi="Verdana" w:cs="Times New Roman"/>
          <w:color w:val="000000" w:themeColor="text1"/>
          <w:sz w:val="27"/>
          <w:szCs w:val="27"/>
          <w:lang w:eastAsia="it-IT"/>
        </w:rPr>
        <w:t>, introdotto dalla legge di conversione,</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L. 26 febbraio 2011, n. 10</w:t>
      </w:r>
      <w:r w:rsidRPr="00A7655C">
        <w:rPr>
          <w:rFonts w:ascii="Verdana" w:eastAsia="Times New Roman" w:hAnsi="Verdana" w:cs="Times New Roman"/>
          <w:color w:val="000000" w:themeColor="text1"/>
          <w:sz w:val="27"/>
          <w:szCs w:val="27"/>
          <w:lang w:eastAsia="it-IT"/>
        </w:rPr>
        <w:t xml:space="preserve">, ha differito al 30 aprile 2011 il citato termine di presentazione delle dichiarazioni catastali, nonché stabilito le modalità di notifica degli atti di accertamento connessi alla attribuzione della </w:t>
      </w:r>
      <w:r w:rsidRPr="00A7655C">
        <w:rPr>
          <w:rFonts w:ascii="Verdana" w:eastAsia="Times New Roman" w:hAnsi="Verdana" w:cs="Times New Roman"/>
          <w:color w:val="000000" w:themeColor="text1"/>
          <w:sz w:val="27"/>
          <w:szCs w:val="27"/>
          <w:lang w:eastAsia="it-IT"/>
        </w:rPr>
        <w:lastRenderedPageBreak/>
        <w:t>rendita presunta (mediante affissione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albo pretorio dei Comuni dove sono ubicati gli immobili).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I criteri per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d</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ufficio della rendita presunta da iscrivere transitoriamente in catasto, nonché per la determinazione degli oneri da porre a carico dei soggetti in caso di mancato o tardivo adempimento, sono stati stabiliti con</w:t>
      </w:r>
      <w:r w:rsidRPr="00C76875">
        <w:rPr>
          <w:rFonts w:ascii="Verdana" w:eastAsia="Times New Roman" w:hAnsi="Verdana" w:cs="Times New Roman"/>
          <w:color w:val="000000" w:themeColor="text1"/>
          <w:sz w:val="27"/>
          <w:lang w:eastAsia="it-IT"/>
        </w:rPr>
        <w:t> </w:t>
      </w:r>
      <w:proofErr w:type="spellStart"/>
      <w:r w:rsidRPr="00C76875">
        <w:rPr>
          <w:rFonts w:ascii="Verdana" w:eastAsia="Times New Roman" w:hAnsi="Verdana" w:cs="Times New Roman"/>
          <w:color w:val="000000" w:themeColor="text1"/>
          <w:sz w:val="27"/>
          <w:lang w:eastAsia="it-IT"/>
        </w:rPr>
        <w:t>Provv</w:t>
      </w:r>
      <w:proofErr w:type="spellEnd"/>
      <w:r w:rsidRPr="00C76875">
        <w:rPr>
          <w:rFonts w:ascii="Verdana" w:eastAsia="Times New Roman" w:hAnsi="Verdana" w:cs="Times New Roman"/>
          <w:color w:val="000000" w:themeColor="text1"/>
          <w:sz w:val="27"/>
          <w:lang w:eastAsia="it-IT"/>
        </w:rPr>
        <w:t>. 19 aprile 2011</w:t>
      </w:r>
      <w:r w:rsidRPr="00A7655C">
        <w:rPr>
          <w:rFonts w:ascii="Verdana" w:eastAsia="Times New Roman" w:hAnsi="Verdana" w:cs="Times New Roman"/>
          <w:color w:val="000000" w:themeColor="text1"/>
          <w:sz w:val="27"/>
          <w:szCs w:val="27"/>
          <w:lang w:eastAsia="it-IT"/>
        </w:rPr>
        <w:t>, emanato dal Direttore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Agenzia del Territorio.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0"/>
          <w:szCs w:val="20"/>
          <w:lang w:eastAsia="it-IT"/>
        </w:rPr>
      </w:pPr>
      <w:r w:rsidRPr="00A7655C">
        <w:rPr>
          <w:rFonts w:ascii="Verdana" w:eastAsia="Times New Roman" w:hAnsi="Verdana" w:cs="Times New Roman"/>
          <w:color w:val="000000" w:themeColor="text1"/>
          <w:sz w:val="20"/>
          <w:szCs w:val="20"/>
          <w:lang w:eastAsia="it-IT"/>
        </w:rPr>
        <w:t>[1] Si tratta, in particolare, dei fabbricati individuati, attraverso le foto aeree digitali (</w:t>
      </w:r>
      <w:proofErr w:type="spellStart"/>
      <w:r w:rsidRPr="00A7655C">
        <w:rPr>
          <w:rFonts w:ascii="Verdana" w:eastAsia="Times New Roman" w:hAnsi="Verdana" w:cs="Times New Roman"/>
          <w:color w:val="000000" w:themeColor="text1"/>
          <w:sz w:val="20"/>
          <w:szCs w:val="20"/>
          <w:lang w:eastAsia="it-IT"/>
        </w:rPr>
        <w:t>ortofoto</w:t>
      </w:r>
      <w:proofErr w:type="spellEnd"/>
      <w:r w:rsidRPr="00A7655C">
        <w:rPr>
          <w:rFonts w:ascii="Verdana" w:eastAsia="Times New Roman" w:hAnsi="Verdana" w:cs="Times New Roman"/>
          <w:color w:val="000000" w:themeColor="text1"/>
          <w:sz w:val="20"/>
          <w:szCs w:val="20"/>
          <w:lang w:eastAsia="it-IT"/>
        </w:rPr>
        <w:t>), sulle particelle di terreno inserite negli appositi elenchi predisposti dall</w:t>
      </w:r>
      <w:r w:rsidR="00C76875" w:rsidRPr="00C76875">
        <w:rPr>
          <w:rFonts w:ascii="Verdana" w:eastAsia="Times New Roman" w:hAnsi="Verdana" w:cs="Times New Roman"/>
          <w:color w:val="000000" w:themeColor="text1"/>
          <w:sz w:val="20"/>
          <w:szCs w:val="20"/>
          <w:lang w:eastAsia="it-IT"/>
        </w:rPr>
        <w:t>’</w:t>
      </w:r>
      <w:r w:rsidRPr="00A7655C">
        <w:rPr>
          <w:rFonts w:ascii="Verdana" w:eastAsia="Times New Roman" w:hAnsi="Verdana" w:cs="Times New Roman"/>
          <w:color w:val="000000" w:themeColor="text1"/>
          <w:sz w:val="20"/>
          <w:szCs w:val="20"/>
          <w:lang w:eastAsia="it-IT"/>
        </w:rPr>
        <w:t>Agenzia, pubblicati sul sito internet dell</w:t>
      </w:r>
      <w:r w:rsidR="00C76875" w:rsidRPr="00C76875">
        <w:rPr>
          <w:rFonts w:ascii="Verdana" w:eastAsia="Times New Roman" w:hAnsi="Verdana" w:cs="Times New Roman"/>
          <w:color w:val="000000" w:themeColor="text1"/>
          <w:sz w:val="20"/>
          <w:szCs w:val="20"/>
          <w:lang w:eastAsia="it-IT"/>
        </w:rPr>
        <w:t>’</w:t>
      </w:r>
      <w:r w:rsidRPr="00A7655C">
        <w:rPr>
          <w:rFonts w:ascii="Verdana" w:eastAsia="Times New Roman" w:hAnsi="Verdana" w:cs="Times New Roman"/>
          <w:color w:val="000000" w:themeColor="text1"/>
          <w:sz w:val="20"/>
          <w:szCs w:val="20"/>
          <w:lang w:eastAsia="it-IT"/>
        </w:rPr>
        <w:t>Agenzia stessa, all</w:t>
      </w:r>
      <w:r w:rsidR="00C76875" w:rsidRPr="00C76875">
        <w:rPr>
          <w:rFonts w:ascii="Verdana" w:eastAsia="Times New Roman" w:hAnsi="Verdana" w:cs="Times New Roman"/>
          <w:color w:val="000000" w:themeColor="text1"/>
          <w:sz w:val="20"/>
          <w:szCs w:val="20"/>
          <w:lang w:eastAsia="it-IT"/>
        </w:rPr>
        <w:t>’</w:t>
      </w:r>
      <w:r w:rsidRPr="00A7655C">
        <w:rPr>
          <w:rFonts w:ascii="Verdana" w:eastAsia="Times New Roman" w:hAnsi="Verdana" w:cs="Times New Roman"/>
          <w:color w:val="000000" w:themeColor="text1"/>
          <w:sz w:val="20"/>
          <w:szCs w:val="20"/>
          <w:lang w:eastAsia="it-IT"/>
        </w:rPr>
        <w:t>albo pretorio dei Comuni e presso gli Uffici provinciali, negli anni 2007, 2008, 2009 e 2010 (per tale ultimo anno, cfr.</w:t>
      </w:r>
      <w:r w:rsidRPr="00C76875">
        <w:rPr>
          <w:rFonts w:ascii="Verdana" w:eastAsia="Times New Roman" w:hAnsi="Verdana" w:cs="Times New Roman"/>
          <w:color w:val="000000" w:themeColor="text1"/>
          <w:sz w:val="20"/>
          <w:szCs w:val="20"/>
          <w:lang w:eastAsia="it-IT"/>
        </w:rPr>
        <w:t> </w:t>
      </w:r>
      <w:r w:rsidRPr="00A7655C">
        <w:rPr>
          <w:rFonts w:ascii="Verdana" w:eastAsia="Times New Roman" w:hAnsi="Verdana" w:cs="Times New Roman"/>
          <w:i/>
          <w:iCs/>
          <w:color w:val="000000" w:themeColor="text1"/>
          <w:sz w:val="20"/>
          <w:szCs w:val="20"/>
          <w:lang w:eastAsia="it-IT"/>
        </w:rPr>
        <w:t>art.</w:t>
      </w:r>
      <w:r w:rsidRPr="00C76875">
        <w:rPr>
          <w:rFonts w:ascii="Verdana" w:eastAsia="Times New Roman" w:hAnsi="Verdana" w:cs="Times New Roman"/>
          <w:i/>
          <w:iCs/>
          <w:color w:val="000000" w:themeColor="text1"/>
          <w:sz w:val="20"/>
          <w:szCs w:val="20"/>
          <w:lang w:eastAsia="it-IT"/>
        </w:rPr>
        <w:t> 19, comma 7</w:t>
      </w:r>
      <w:r w:rsidRPr="00A7655C">
        <w:rPr>
          <w:rFonts w:ascii="Verdana" w:eastAsia="Times New Roman" w:hAnsi="Verdana" w:cs="Times New Roman"/>
          <w:i/>
          <w:iCs/>
          <w:color w:val="000000" w:themeColor="text1"/>
          <w:sz w:val="20"/>
          <w:szCs w:val="20"/>
          <w:lang w:eastAsia="it-IT"/>
        </w:rPr>
        <w:t>, del</w:t>
      </w:r>
      <w:r w:rsidRPr="00C76875">
        <w:rPr>
          <w:rFonts w:ascii="Verdana" w:eastAsia="Times New Roman" w:hAnsi="Verdana" w:cs="Times New Roman"/>
          <w:i/>
          <w:iCs/>
          <w:color w:val="000000" w:themeColor="text1"/>
          <w:sz w:val="20"/>
          <w:szCs w:val="20"/>
          <w:lang w:eastAsia="it-IT"/>
        </w:rPr>
        <w:t> D.L. 31 maggio 2010, n. 78</w:t>
      </w:r>
      <w:r w:rsidRPr="00A7655C">
        <w:rPr>
          <w:rFonts w:ascii="Verdana" w:eastAsia="Times New Roman" w:hAnsi="Verdana" w:cs="Times New Roman"/>
          <w:color w:val="000000" w:themeColor="text1"/>
          <w:sz w:val="20"/>
          <w:szCs w:val="20"/>
          <w:lang w:eastAsia="it-IT"/>
        </w:rPr>
        <w:t>, convertito, con modificazioni, dalla</w:t>
      </w:r>
      <w:r w:rsidRPr="00C76875">
        <w:rPr>
          <w:rFonts w:ascii="Verdana" w:eastAsia="Times New Roman" w:hAnsi="Verdana" w:cs="Times New Roman"/>
          <w:color w:val="000000" w:themeColor="text1"/>
          <w:sz w:val="20"/>
          <w:szCs w:val="20"/>
          <w:lang w:eastAsia="it-IT"/>
        </w:rPr>
        <w:t> </w:t>
      </w:r>
      <w:r w:rsidRPr="00C76875">
        <w:rPr>
          <w:rFonts w:ascii="Verdana" w:eastAsia="Times New Roman" w:hAnsi="Verdana" w:cs="Times New Roman"/>
          <w:i/>
          <w:iCs/>
          <w:color w:val="000000" w:themeColor="text1"/>
          <w:sz w:val="20"/>
          <w:szCs w:val="20"/>
          <w:lang w:eastAsia="it-IT"/>
        </w:rPr>
        <w:t>L. 30 luglio 2010, n. 122</w:t>
      </w:r>
      <w:r w:rsidRPr="00A7655C">
        <w:rPr>
          <w:rFonts w:ascii="Verdana" w:eastAsia="Times New Roman" w:hAnsi="Verdana" w:cs="Times New Roman"/>
          <w:color w:val="000000" w:themeColor="text1"/>
          <w:sz w:val="20"/>
          <w:szCs w:val="20"/>
          <w:lang w:eastAsia="it-IT"/>
        </w:rPr>
        <w:t>).</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0"/>
          <w:szCs w:val="20"/>
          <w:lang w:eastAsia="it-IT"/>
        </w:rPr>
      </w:pPr>
      <w:r w:rsidRPr="00A7655C">
        <w:rPr>
          <w:rFonts w:ascii="Verdana" w:eastAsia="Times New Roman" w:hAnsi="Verdana" w:cs="Times New Roman"/>
          <w:color w:val="000000" w:themeColor="text1"/>
          <w:sz w:val="20"/>
          <w:szCs w:val="20"/>
          <w:lang w:eastAsia="it-IT"/>
        </w:rPr>
        <w:t>[2] Convertito con modificazioni dalla</w:t>
      </w:r>
      <w:r w:rsidRPr="00C76875">
        <w:rPr>
          <w:rFonts w:ascii="Verdana" w:eastAsia="Times New Roman" w:hAnsi="Verdana" w:cs="Times New Roman"/>
          <w:color w:val="000000" w:themeColor="text1"/>
          <w:sz w:val="20"/>
          <w:szCs w:val="20"/>
          <w:lang w:eastAsia="it-IT"/>
        </w:rPr>
        <w:t> </w:t>
      </w:r>
      <w:r w:rsidRPr="00C76875">
        <w:rPr>
          <w:rFonts w:ascii="Verdana" w:eastAsia="Times New Roman" w:hAnsi="Verdana" w:cs="Times New Roman"/>
          <w:i/>
          <w:iCs/>
          <w:color w:val="000000" w:themeColor="text1"/>
          <w:sz w:val="20"/>
          <w:szCs w:val="20"/>
          <w:lang w:eastAsia="it-IT"/>
        </w:rPr>
        <w:t>L. 24 novembre 2006, n. 286</w:t>
      </w:r>
      <w:r w:rsidRPr="00A7655C">
        <w:rPr>
          <w:rFonts w:ascii="Verdana" w:eastAsia="Times New Roman" w:hAnsi="Verdana" w:cs="Times New Roman"/>
          <w:color w:val="000000" w:themeColor="text1"/>
          <w:sz w:val="20"/>
          <w:szCs w:val="20"/>
          <w:lang w:eastAsia="it-IT"/>
        </w:rPr>
        <w:t>, e successive modifiche e integrazioni.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C76875">
        <w:rPr>
          <w:rFonts w:ascii="Verdana" w:eastAsia="Times New Roman" w:hAnsi="Verdana" w:cs="Times New Roman"/>
          <w:b/>
          <w:bCs/>
          <w:color w:val="000000" w:themeColor="text1"/>
          <w:sz w:val="27"/>
          <w:lang w:eastAsia="it-IT"/>
        </w:rPr>
        <w:t>2.</w:t>
      </w:r>
      <w:r w:rsidRPr="00A7655C">
        <w:rPr>
          <w:rFonts w:ascii="Verdana" w:eastAsia="Times New Roman" w:hAnsi="Verdana" w:cs="Times New Roman"/>
          <w:color w:val="000000" w:themeColor="text1"/>
          <w:sz w:val="27"/>
          <w:szCs w:val="27"/>
          <w:lang w:eastAsia="it-IT"/>
        </w:rPr>
        <w:t> </w:t>
      </w:r>
      <w:r w:rsidRPr="00C76875">
        <w:rPr>
          <w:rFonts w:ascii="Verdana" w:eastAsia="Times New Roman" w:hAnsi="Verdana" w:cs="Times New Roman"/>
          <w:i/>
          <w:iCs/>
          <w:color w:val="000000" w:themeColor="text1"/>
          <w:sz w:val="27"/>
          <w:lang w:eastAsia="it-IT"/>
        </w:rPr>
        <w:t>Criteri di individuazione delle unità immobiliari oggetto di accertamento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La rendita catastale presunta viene attribuita ai fabbricati "mai dichiarati", per i quali i soggetti obbligati non hanno provveduto, né alla regolarizzazione catastale, tramite la presentazione dei necessari atti di aggiornamento, né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invio di comunicazione debitamente motivata relativa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esenzione dall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obbligo di dichiarazione.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Le operazioni di sopralluogo finalizzate alla determinazione della rendita presunta sono state avviate, a partire dal mese di maggio 2011, a cura dei tecnici degli Uffici provinciali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Agenzia del Territorio e, in alcuni ambiti territoriali, anche con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ausilio di professionisti esterni, sulla base dei Protocolli d</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intesa stipulati con gli Organismi rappresentativi delle categorie professionali.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Con la presente circolare - oltre alle prescrizioni tecniche per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effettuazione delle registrazioni in banca dati e degli aggiornamenti successivi (cfr. allegati 1 e 2) - si evidenziano le regole per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individuazione del numero di unità immobiliari urbane (di seguito UIU) da iscrivere in catasto, ricadenti nel fabbricato oggetto di accertamento, nonché le modalità di registrazione nelle banche dati catastali degli esiti degli accertamenti eseguiti.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In linea generale, il numero di dette unità immobiliari - almeno pari a quello delle diverse destinazioni d</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uso riscontrate in loco [3] - è stato </w:t>
      </w:r>
      <w:r w:rsidRPr="00A7655C">
        <w:rPr>
          <w:rFonts w:ascii="Verdana" w:eastAsia="Times New Roman" w:hAnsi="Verdana" w:cs="Times New Roman"/>
          <w:color w:val="000000" w:themeColor="text1"/>
          <w:sz w:val="27"/>
          <w:szCs w:val="27"/>
          <w:lang w:eastAsia="it-IT"/>
        </w:rPr>
        <w:lastRenderedPageBreak/>
        <w:t>individuato, in modo speditivo, sulla base delle informazioni desumibili attraverso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attività di sopralluogo esterno, tenuto conto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autonoma potenzialità di ciascuna porzione immobiliare sotto il profilo funzionale e reddituale.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Nel caso di fabbricato insistente su diverse particelle di terreno, è stata individuata almeno una unità immobiliare urbana per ciascuna delle particelle interessate, con la ripartizione delle consistenze, in relazione alla proiezione dei manufatti edificati sulle stesse, tenendo conto del numero dei piani.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Nei casi di ampliamento, invece, è stata sempre individuata almeno una unità immobiliare urbana, ricadente sulla sola porzione "ampliata".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16"/>
          <w:szCs w:val="16"/>
          <w:lang w:eastAsia="it-IT"/>
        </w:rPr>
      </w:pPr>
      <w:r w:rsidRPr="00A7655C">
        <w:rPr>
          <w:rFonts w:ascii="Verdana" w:eastAsia="Times New Roman" w:hAnsi="Verdana" w:cs="Times New Roman"/>
          <w:color w:val="000000" w:themeColor="text1"/>
          <w:sz w:val="16"/>
          <w:szCs w:val="16"/>
          <w:lang w:eastAsia="it-IT"/>
        </w:rPr>
        <w:t>[3] Distinguendo, fra l</w:t>
      </w:r>
      <w:r w:rsidR="00C76875" w:rsidRPr="00C76875">
        <w:rPr>
          <w:rFonts w:ascii="Verdana" w:eastAsia="Times New Roman" w:hAnsi="Verdana" w:cs="Times New Roman"/>
          <w:color w:val="000000" w:themeColor="text1"/>
          <w:sz w:val="16"/>
          <w:szCs w:val="16"/>
          <w:lang w:eastAsia="it-IT"/>
        </w:rPr>
        <w:t>’</w:t>
      </w:r>
      <w:r w:rsidRPr="00A7655C">
        <w:rPr>
          <w:rFonts w:ascii="Verdana" w:eastAsia="Times New Roman" w:hAnsi="Verdana" w:cs="Times New Roman"/>
          <w:color w:val="000000" w:themeColor="text1"/>
          <w:sz w:val="16"/>
          <w:szCs w:val="16"/>
          <w:lang w:eastAsia="it-IT"/>
        </w:rPr>
        <w:t>altro, i locali destinati alla residenza, da quelli adibiti a deposito di cose, ovvero al ricovero di automezzi, nonché dagli altri destinati alle funzioni artigianali e industriali, commerciali, ecc.</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C76875">
        <w:rPr>
          <w:rFonts w:ascii="Verdana" w:eastAsia="Times New Roman" w:hAnsi="Verdana" w:cs="Times New Roman"/>
          <w:b/>
          <w:bCs/>
          <w:color w:val="000000" w:themeColor="text1"/>
          <w:sz w:val="27"/>
          <w:lang w:eastAsia="it-IT"/>
        </w:rPr>
        <w:t>3.</w:t>
      </w:r>
      <w:r w:rsidRPr="00A7655C">
        <w:rPr>
          <w:rFonts w:ascii="Verdana" w:eastAsia="Times New Roman" w:hAnsi="Verdana" w:cs="Times New Roman"/>
          <w:color w:val="000000" w:themeColor="text1"/>
          <w:sz w:val="27"/>
          <w:szCs w:val="27"/>
          <w:lang w:eastAsia="it-IT"/>
        </w:rPr>
        <w:t> </w:t>
      </w:r>
      <w:r w:rsidRPr="00C76875">
        <w:rPr>
          <w:rFonts w:ascii="Verdana" w:eastAsia="Times New Roman" w:hAnsi="Verdana" w:cs="Times New Roman"/>
          <w:i/>
          <w:iCs/>
          <w:color w:val="000000" w:themeColor="text1"/>
          <w:sz w:val="27"/>
          <w:lang w:eastAsia="it-IT"/>
        </w:rPr>
        <w:t>Registrazione nelle banche dati del catasto della rendita presunta - Gestione degli aggiornamenti relativi a variazioni oggettive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Qualora dagli accertamenti eseguiti emerga la necessità di procedere ad un aggiornamento catastale e, quindi,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della rendita presunta, gli esiti degli accertamenti sono registrati nelle banche dati censuarie di CT, di CEU e cartografica.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La registrazione è eseguita prevalentemente con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ausilio di procedure automatizzate, utilizzando il software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uopo predisposto, secondo i criteri e le prescrizioni tecnico-procedurali illustrate nell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Allegato 1 alla presente circolare. Le modalità di aggiornamento delle banche dati di CT e CEU sono eseguite, di norma, in modalità differita (c.d. procedura </w:t>
      </w:r>
      <w:proofErr w:type="spellStart"/>
      <w:r w:rsidRPr="00A7655C">
        <w:rPr>
          <w:rFonts w:ascii="Verdana" w:eastAsia="Times New Roman" w:hAnsi="Verdana" w:cs="Times New Roman"/>
          <w:color w:val="000000" w:themeColor="text1"/>
          <w:sz w:val="27"/>
          <w:szCs w:val="27"/>
          <w:lang w:eastAsia="it-IT"/>
        </w:rPr>
        <w:t>batch</w:t>
      </w:r>
      <w:proofErr w:type="spellEnd"/>
      <w:r w:rsidRPr="00A7655C">
        <w:rPr>
          <w:rFonts w:ascii="Verdana" w:eastAsia="Times New Roman" w:hAnsi="Verdana" w:cs="Times New Roman"/>
          <w:color w:val="000000" w:themeColor="text1"/>
          <w:sz w:val="27"/>
          <w:szCs w:val="27"/>
          <w:lang w:eastAsia="it-IT"/>
        </w:rPr>
        <w:t>).</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Permane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obbligo, anche successivamente alla registrazione in banca dati degli esiti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accertamento e della rendita presunta attribuita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immobile in via transitoria, per i soggetti interessati, di presentare, tramite i professionisti incaricati, le relative dichiarazioni di aggiornamento: il tipo mappale (di seguito TM), redatto con procedura </w:t>
      </w:r>
      <w:proofErr w:type="spellStart"/>
      <w:r w:rsidRPr="00A7655C">
        <w:rPr>
          <w:rFonts w:ascii="Verdana" w:eastAsia="Times New Roman" w:hAnsi="Verdana" w:cs="Times New Roman"/>
          <w:color w:val="000000" w:themeColor="text1"/>
          <w:sz w:val="27"/>
          <w:szCs w:val="27"/>
          <w:lang w:eastAsia="it-IT"/>
        </w:rPr>
        <w:t>Pregeo</w:t>
      </w:r>
      <w:proofErr w:type="spellEnd"/>
      <w:r w:rsidRPr="00A7655C">
        <w:rPr>
          <w:rFonts w:ascii="Verdana" w:eastAsia="Times New Roman" w:hAnsi="Verdana" w:cs="Times New Roman"/>
          <w:color w:val="000000" w:themeColor="text1"/>
          <w:sz w:val="27"/>
          <w:szCs w:val="27"/>
          <w:lang w:eastAsia="it-IT"/>
        </w:rPr>
        <w:t xml:space="preserve"> e la dichiarazione di variazione delle UIU, redatta con procedura Docfa.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xml:space="preserve">Allo scopo di garantire la coerenza delle scritture catastali con le risultanze attuali degli immobili oggetto di attribuzione della rendita </w:t>
      </w:r>
      <w:r w:rsidRPr="00A7655C">
        <w:rPr>
          <w:rFonts w:ascii="Verdana" w:eastAsia="Times New Roman" w:hAnsi="Verdana" w:cs="Times New Roman"/>
          <w:color w:val="000000" w:themeColor="text1"/>
          <w:sz w:val="27"/>
          <w:szCs w:val="27"/>
          <w:lang w:eastAsia="it-IT"/>
        </w:rPr>
        <w:lastRenderedPageBreak/>
        <w:t>presunta, i tecnici incaricati, nel predisporre i predetti atti di aggiornamento, devono attenersi alle prescrizioni e alle indicazioni tecniche contenute nell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Allegato 2.</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A tal fine, peraltro, si ritiene opportuno precisare che gli immobili oggetto di attribuzione di rendita presunta sono riconoscibili ed individuabili almeno attraverso una delle seguenti indicazioni riportate nei data base catastali:</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presenza in cartografia,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interno della particella, del simbolo testuale "&lt;&gt;";</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presenza, nel campo annotazione del data base censuario della particella di CT, delle seguenti dizioni:</w:t>
      </w:r>
    </w:p>
    <w:p w:rsidR="00A7655C" w:rsidRPr="00A7655C" w:rsidRDefault="00A7655C" w:rsidP="00A7655C">
      <w:pPr>
        <w:spacing w:before="100" w:beforeAutospacing="1" w:after="100" w:afterAutospacing="1" w:line="240" w:lineRule="auto"/>
        <w:ind w:firstLine="6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-"Particella interessata da immobile urbano non ancora regolarizzato ai sensi del</w:t>
      </w:r>
      <w:r w:rsidRPr="00C76875">
        <w:rPr>
          <w:rFonts w:ascii="Verdana" w:eastAsia="Times New Roman" w:hAnsi="Verdana" w:cs="Times New Roman"/>
          <w:color w:val="000000" w:themeColor="text1"/>
          <w:sz w:val="27"/>
          <w:lang w:eastAsia="it-IT"/>
        </w:rPr>
        <w:t> </w:t>
      </w:r>
      <w:proofErr w:type="spellStart"/>
      <w:r w:rsidRPr="00C76875">
        <w:rPr>
          <w:rFonts w:ascii="Verdana" w:eastAsia="Times New Roman" w:hAnsi="Verdana" w:cs="Times New Roman"/>
          <w:i/>
          <w:iCs/>
          <w:color w:val="000000" w:themeColor="text1"/>
          <w:sz w:val="27"/>
          <w:lang w:eastAsia="it-IT"/>
        </w:rPr>
        <w:t>DL</w:t>
      </w:r>
      <w:proofErr w:type="spellEnd"/>
      <w:r w:rsidRPr="00C76875">
        <w:rPr>
          <w:rFonts w:ascii="Verdana" w:eastAsia="Times New Roman" w:hAnsi="Verdana" w:cs="Times New Roman"/>
          <w:i/>
          <w:iCs/>
          <w:color w:val="000000" w:themeColor="text1"/>
          <w:sz w:val="27"/>
          <w:lang w:eastAsia="it-IT"/>
        </w:rPr>
        <w:t xml:space="preserve"> 78/2010</w:t>
      </w:r>
      <w:r w:rsidRPr="00A7655C">
        <w:rPr>
          <w:rFonts w:ascii="Verdana" w:eastAsia="Times New Roman" w:hAnsi="Verdana" w:cs="Times New Roman"/>
          <w:color w:val="000000" w:themeColor="text1"/>
          <w:sz w:val="27"/>
          <w:szCs w:val="27"/>
          <w:lang w:eastAsia="it-IT"/>
        </w:rPr>
        <w:t>", quando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immobile è presente in partita speciale;</w:t>
      </w:r>
    </w:p>
    <w:p w:rsidR="00A7655C" w:rsidRPr="00A7655C" w:rsidRDefault="00A7655C" w:rsidP="00A7655C">
      <w:pPr>
        <w:spacing w:before="100" w:beforeAutospacing="1" w:after="100" w:afterAutospacing="1" w:line="240" w:lineRule="auto"/>
        <w:ind w:firstLine="6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"Particella interessata da immobile urbano non ancora regolarizzato ai sensi del</w:t>
      </w:r>
      <w:r w:rsidRPr="00C76875">
        <w:rPr>
          <w:rFonts w:ascii="Verdana" w:eastAsia="Times New Roman" w:hAnsi="Verdana" w:cs="Times New Roman"/>
          <w:color w:val="000000" w:themeColor="text1"/>
          <w:sz w:val="27"/>
          <w:lang w:eastAsia="it-IT"/>
        </w:rPr>
        <w:t> </w:t>
      </w:r>
      <w:proofErr w:type="spellStart"/>
      <w:r w:rsidRPr="00C76875">
        <w:rPr>
          <w:rFonts w:ascii="Verdana" w:eastAsia="Times New Roman" w:hAnsi="Verdana" w:cs="Times New Roman"/>
          <w:i/>
          <w:iCs/>
          <w:color w:val="000000" w:themeColor="text1"/>
          <w:sz w:val="27"/>
          <w:lang w:eastAsia="it-IT"/>
        </w:rPr>
        <w:t>DL</w:t>
      </w:r>
      <w:proofErr w:type="spellEnd"/>
      <w:r w:rsidRPr="00C76875">
        <w:rPr>
          <w:rFonts w:ascii="Verdana" w:eastAsia="Times New Roman" w:hAnsi="Verdana" w:cs="Times New Roman"/>
          <w:i/>
          <w:iCs/>
          <w:color w:val="000000" w:themeColor="text1"/>
          <w:sz w:val="27"/>
          <w:lang w:eastAsia="it-IT"/>
        </w:rPr>
        <w:t xml:space="preserve"> 78/2010</w:t>
      </w:r>
      <w:r w:rsidRPr="00C76875">
        <w:rPr>
          <w:rFonts w:ascii="Verdana" w:eastAsia="Times New Roman" w:hAnsi="Verdana" w:cs="Times New Roman"/>
          <w:color w:val="000000" w:themeColor="text1"/>
          <w:sz w:val="27"/>
          <w:lang w:eastAsia="it-IT"/>
        </w:rPr>
        <w:t> </w:t>
      </w:r>
      <w:r w:rsidRPr="00A7655C">
        <w:rPr>
          <w:rFonts w:ascii="Verdana" w:eastAsia="Times New Roman" w:hAnsi="Verdana" w:cs="Times New Roman"/>
          <w:color w:val="000000" w:themeColor="text1"/>
          <w:sz w:val="27"/>
          <w:szCs w:val="27"/>
          <w:lang w:eastAsia="it-IT"/>
        </w:rPr>
        <w:t>- Al momento della presentazione del TM dovrà assumere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identificativo già utilizzato al CEU", quando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immobile è presente in partita ordinaria;</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presenza, nel data base censuario di CEU, della seguente annotazione: "Rendita presunta attribuita ai sensi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i/>
          <w:iCs/>
          <w:color w:val="000000" w:themeColor="text1"/>
          <w:sz w:val="27"/>
          <w:szCs w:val="27"/>
          <w:lang w:eastAsia="it-IT"/>
        </w:rPr>
        <w:t>art.</w:t>
      </w:r>
      <w:r w:rsidRPr="00C76875">
        <w:rPr>
          <w:rFonts w:ascii="Verdana" w:eastAsia="Times New Roman" w:hAnsi="Verdana" w:cs="Times New Roman"/>
          <w:i/>
          <w:iCs/>
          <w:color w:val="000000" w:themeColor="text1"/>
          <w:sz w:val="27"/>
          <w:lang w:eastAsia="it-IT"/>
        </w:rPr>
        <w:t> 19, comma 10</w:t>
      </w:r>
      <w:r w:rsidRPr="00A7655C">
        <w:rPr>
          <w:rFonts w:ascii="Verdana" w:eastAsia="Times New Roman" w:hAnsi="Verdana" w:cs="Times New Roman"/>
          <w:i/>
          <w:iCs/>
          <w:color w:val="000000" w:themeColor="text1"/>
          <w:sz w:val="27"/>
          <w:szCs w:val="27"/>
          <w:lang w:eastAsia="it-IT"/>
        </w:rPr>
        <w:t>, del</w:t>
      </w:r>
      <w:r w:rsidRPr="00C76875">
        <w:rPr>
          <w:rFonts w:ascii="Verdana" w:eastAsia="Times New Roman" w:hAnsi="Verdana" w:cs="Times New Roman"/>
          <w:i/>
          <w:iCs/>
          <w:color w:val="000000" w:themeColor="text1"/>
          <w:sz w:val="27"/>
          <w:lang w:eastAsia="it-IT"/>
        </w:rPr>
        <w:t> </w:t>
      </w:r>
      <w:proofErr w:type="spellStart"/>
      <w:r w:rsidRPr="00C76875">
        <w:rPr>
          <w:rFonts w:ascii="Verdana" w:eastAsia="Times New Roman" w:hAnsi="Verdana" w:cs="Times New Roman"/>
          <w:i/>
          <w:iCs/>
          <w:color w:val="000000" w:themeColor="text1"/>
          <w:sz w:val="27"/>
          <w:lang w:eastAsia="it-IT"/>
        </w:rPr>
        <w:t>DL</w:t>
      </w:r>
      <w:proofErr w:type="spellEnd"/>
      <w:r w:rsidRPr="00C76875">
        <w:rPr>
          <w:rFonts w:ascii="Verdana" w:eastAsia="Times New Roman" w:hAnsi="Verdana" w:cs="Times New Roman"/>
          <w:i/>
          <w:iCs/>
          <w:color w:val="000000" w:themeColor="text1"/>
          <w:sz w:val="27"/>
          <w:lang w:eastAsia="it-IT"/>
        </w:rPr>
        <w:t xml:space="preserve"> 78/2010</w:t>
      </w:r>
      <w:r w:rsidRPr="00A7655C">
        <w:rPr>
          <w:rFonts w:ascii="Verdana" w:eastAsia="Times New Roman" w:hAnsi="Verdana" w:cs="Times New Roman"/>
          <w:color w:val="000000" w:themeColor="text1"/>
          <w:sz w:val="27"/>
          <w:szCs w:val="27"/>
          <w:lang w:eastAsia="it-IT"/>
        </w:rPr>
        <w:t>");</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presenza, nel data base planimetrico di CEU, della seguente annotazione: "Planimetria assente per attribuzione di RC presunta".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C76875">
        <w:rPr>
          <w:rFonts w:ascii="Verdana" w:eastAsia="Times New Roman" w:hAnsi="Verdana" w:cs="Times New Roman"/>
          <w:b/>
          <w:bCs/>
          <w:color w:val="000000" w:themeColor="text1"/>
          <w:sz w:val="27"/>
          <w:lang w:eastAsia="it-IT"/>
        </w:rPr>
        <w:t>4.</w:t>
      </w:r>
      <w:r w:rsidRPr="00A7655C">
        <w:rPr>
          <w:rFonts w:ascii="Verdana" w:eastAsia="Times New Roman" w:hAnsi="Verdana" w:cs="Times New Roman"/>
          <w:color w:val="000000" w:themeColor="text1"/>
          <w:sz w:val="27"/>
          <w:szCs w:val="27"/>
          <w:lang w:eastAsia="it-IT"/>
        </w:rPr>
        <w:t> </w:t>
      </w:r>
      <w:r w:rsidRPr="00C76875">
        <w:rPr>
          <w:rFonts w:ascii="Verdana" w:eastAsia="Times New Roman" w:hAnsi="Verdana" w:cs="Times New Roman"/>
          <w:i/>
          <w:iCs/>
          <w:color w:val="000000" w:themeColor="text1"/>
          <w:sz w:val="27"/>
          <w:lang w:eastAsia="it-IT"/>
        </w:rPr>
        <w:t>Atti relativi ad immobili oggetto di attribuzione della rendita presunta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i/>
          <w:iCs/>
          <w:color w:val="000000" w:themeColor="text1"/>
          <w:sz w:val="27"/>
          <w:szCs w:val="27"/>
          <w:lang w:eastAsia="it-IT"/>
        </w:rPr>
        <w:t>art.</w:t>
      </w:r>
      <w:r w:rsidRPr="00C76875">
        <w:rPr>
          <w:rFonts w:ascii="Verdana" w:eastAsia="Times New Roman" w:hAnsi="Verdana" w:cs="Times New Roman"/>
          <w:i/>
          <w:iCs/>
          <w:color w:val="000000" w:themeColor="text1"/>
          <w:sz w:val="27"/>
          <w:lang w:eastAsia="it-IT"/>
        </w:rPr>
        <w:t> 19, comma 14</w:t>
      </w:r>
      <w:r w:rsidRPr="00A7655C">
        <w:rPr>
          <w:rFonts w:ascii="Verdana" w:eastAsia="Times New Roman" w:hAnsi="Verdana" w:cs="Times New Roman"/>
          <w:i/>
          <w:iCs/>
          <w:color w:val="000000" w:themeColor="text1"/>
          <w:sz w:val="27"/>
          <w:szCs w:val="27"/>
          <w:lang w:eastAsia="it-IT"/>
        </w:rPr>
        <w:t>, del</w:t>
      </w:r>
      <w:r w:rsidRPr="00C76875">
        <w:rPr>
          <w:rFonts w:ascii="Verdana" w:eastAsia="Times New Roman" w:hAnsi="Verdana" w:cs="Times New Roman"/>
          <w:i/>
          <w:iCs/>
          <w:color w:val="000000" w:themeColor="text1"/>
          <w:sz w:val="27"/>
          <w:lang w:eastAsia="it-IT"/>
        </w:rPr>
        <w:t> D.L. 31 maggio 2010, n. 78</w:t>
      </w:r>
      <w:r w:rsidRPr="00A7655C">
        <w:rPr>
          <w:rFonts w:ascii="Verdana" w:eastAsia="Times New Roman" w:hAnsi="Verdana" w:cs="Times New Roman"/>
          <w:color w:val="000000" w:themeColor="text1"/>
          <w:sz w:val="27"/>
          <w:szCs w:val="27"/>
          <w:lang w:eastAsia="it-IT"/>
        </w:rPr>
        <w:t>, ha aggiunto il comma 1-bis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i/>
          <w:iCs/>
          <w:color w:val="000000" w:themeColor="text1"/>
          <w:sz w:val="27"/>
          <w:szCs w:val="27"/>
          <w:lang w:eastAsia="it-IT"/>
        </w:rPr>
        <w:t>art.</w:t>
      </w:r>
      <w:r w:rsidRPr="00C76875">
        <w:rPr>
          <w:rFonts w:ascii="Verdana" w:eastAsia="Times New Roman" w:hAnsi="Verdana" w:cs="Times New Roman"/>
          <w:i/>
          <w:iCs/>
          <w:color w:val="000000" w:themeColor="text1"/>
          <w:sz w:val="27"/>
          <w:lang w:eastAsia="it-IT"/>
        </w:rPr>
        <w:t> 29 </w:t>
      </w:r>
      <w:r w:rsidRPr="00A7655C">
        <w:rPr>
          <w:rFonts w:ascii="Verdana" w:eastAsia="Times New Roman" w:hAnsi="Verdana" w:cs="Times New Roman"/>
          <w:i/>
          <w:iCs/>
          <w:color w:val="000000" w:themeColor="text1"/>
          <w:sz w:val="27"/>
          <w:szCs w:val="27"/>
          <w:lang w:eastAsia="it-IT"/>
        </w:rPr>
        <w:t>della</w:t>
      </w:r>
      <w:r w:rsidRPr="00C76875">
        <w:rPr>
          <w:rFonts w:ascii="Verdana" w:eastAsia="Times New Roman" w:hAnsi="Verdana" w:cs="Times New Roman"/>
          <w:i/>
          <w:iCs/>
          <w:color w:val="000000" w:themeColor="text1"/>
          <w:sz w:val="27"/>
          <w:lang w:eastAsia="it-IT"/>
        </w:rPr>
        <w:t> L. 27 febbraio 1985, n. 52</w:t>
      </w:r>
      <w:r w:rsidRPr="00A7655C">
        <w:rPr>
          <w:rFonts w:ascii="Verdana" w:eastAsia="Times New Roman" w:hAnsi="Verdana" w:cs="Times New Roman"/>
          <w:color w:val="000000" w:themeColor="text1"/>
          <w:sz w:val="27"/>
          <w:szCs w:val="27"/>
          <w:lang w:eastAsia="it-IT"/>
        </w:rPr>
        <w:t>, recante, come è noto, modifiche al libro sesto del codice civile e norme di servizio ipotecario in riferimento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introduzione di un sistema di elaborazione automatica nelle conservatorie dei registri immobiliari.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xml:space="preserve">Il comma 1-bis di nuova introduzione è strutturato in due parti distinte, sebbene collegate tra loro: nella prima, si prevede che gli atti immobiliari ivi menzionati devono contenere, a pena di nullità, oltre </w:t>
      </w:r>
      <w:r w:rsidRPr="00A7655C">
        <w:rPr>
          <w:rFonts w:ascii="Verdana" w:eastAsia="Times New Roman" w:hAnsi="Verdana" w:cs="Times New Roman"/>
          <w:color w:val="000000" w:themeColor="text1"/>
          <w:sz w:val="27"/>
          <w:szCs w:val="27"/>
          <w:lang w:eastAsia="it-IT"/>
        </w:rPr>
        <w:lastRenderedPageBreak/>
        <w:t>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identificazione catastale delle unità immobiliari urbane, anche il riferimento alle planimetrie depositate in catasto, nonché la dichiarazione, resa dagli intestatari, della conformità dei dati e delle planimetrie catastali con lo stato di fatto degli immobili urbani (coerenza "oggettiva"). Nella seconda parte, viene prevista, invece, a cura del notaio, la preventiva individuazione degli intestatari catastali e la verifica della conformità tra i titolari iscritti in catasto e quelli presenti nei registri di pubblicità immobiliare (coerenza "soggettiva").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Una delle finalità più rilevanti della disposizione è ravvisabile, come è noto, nella esigenza di far emergere, nel settore impositivo immobiliare, possibili fenomeni di elusione fiscale connessi ad un omesso aggiornamento dei dati oggettivi delle unità immobiliari urbane, cui può corrispondere una maggiore redditività, rispetto a quella risultante in catasto.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Nel rinviare, per gli aspetti applicativi e le questioni interpretative sottese alla disposizione soprarichiamata, alla</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Circ. 9 luglio 2010, n. 2/T</w:t>
      </w:r>
      <w:r w:rsidRPr="00C76875">
        <w:rPr>
          <w:rFonts w:ascii="Verdana" w:eastAsia="Times New Roman" w:hAnsi="Verdana" w:cs="Times New Roman"/>
          <w:color w:val="000000" w:themeColor="text1"/>
          <w:sz w:val="27"/>
          <w:lang w:eastAsia="it-IT"/>
        </w:rPr>
        <w:t> </w:t>
      </w:r>
      <w:r w:rsidRPr="00A7655C">
        <w:rPr>
          <w:rFonts w:ascii="Verdana" w:eastAsia="Times New Roman" w:hAnsi="Verdana" w:cs="Times New Roman"/>
          <w:color w:val="000000" w:themeColor="text1"/>
          <w:sz w:val="27"/>
          <w:szCs w:val="27"/>
          <w:lang w:eastAsia="it-IT"/>
        </w:rPr>
        <w:t>e alla</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Circ. 10 agosto 2010, n. 3/T</w:t>
      </w:r>
      <w:r w:rsidRPr="00A7655C">
        <w:rPr>
          <w:rFonts w:ascii="Verdana" w:eastAsia="Times New Roman" w:hAnsi="Verdana" w:cs="Times New Roman"/>
          <w:color w:val="000000" w:themeColor="text1"/>
          <w:sz w:val="27"/>
          <w:szCs w:val="27"/>
          <w:lang w:eastAsia="it-IT"/>
        </w:rPr>
        <w:t>, si ritiene opportuno formulare, sulla tematica, le seguenti ulteriori considerazioni.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della rendita catastale ai fabbricati mai dichiarati si articola in due fasi ben distinte:</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a. la prima, relativa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della rendita presunta, si conclude con la registrazione in atti degli esiti degli accertamenti eseguiti dall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Ufficio (iscrizione in catasto della rendita presunta in via transitoria), secondo le modalità e le indicazioni illustrate nella presente circolare, cui consegue la notifica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avviso di accertamento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intestatario catastale;</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b. la seconda, finalizzata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della rendita definitiva, si attiva con la presentazione di un atto di aggiornamento da parte del soggetto interessato, oppure, in mancanza, attraverso la predisposizione d</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ufficio delle apposite dichiarazioni redatte in conformità al</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D.M. 19 aprile 1994, n. 701</w:t>
      </w:r>
      <w:r w:rsidRPr="00A7655C">
        <w:rPr>
          <w:rFonts w:ascii="Verdana" w:eastAsia="Times New Roman" w:hAnsi="Verdana" w:cs="Times New Roman"/>
          <w:color w:val="000000" w:themeColor="text1"/>
          <w:sz w:val="27"/>
          <w:szCs w:val="27"/>
          <w:lang w:eastAsia="it-IT"/>
        </w:rPr>
        <w:t>; il procedimento si conclude con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accatastamento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immobile 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di una rendita catastale definitiva, cioè con la sua completa "regolarizzazione" catastale (fatta salva, ovviamente, ogni valutazione in ordine alla regolarità urbanistica del fabbricato, rimessa al Comune territorialmente competente).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Tanto precisato in linea generale, nell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ipotesi di atti di trasferimento aventi ad oggetto gli immobili di cui trattasi, posti in essere nella fase </w:t>
      </w:r>
      <w:r w:rsidRPr="00A7655C">
        <w:rPr>
          <w:rFonts w:ascii="Verdana" w:eastAsia="Times New Roman" w:hAnsi="Verdana" w:cs="Times New Roman"/>
          <w:color w:val="000000" w:themeColor="text1"/>
          <w:sz w:val="27"/>
          <w:szCs w:val="27"/>
          <w:lang w:eastAsia="it-IT"/>
        </w:rPr>
        <w:lastRenderedPageBreak/>
        <w:t>"intermedia", cioè successivamente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iscrizione in catasto, in via transitoria, della rendita presunta, ma prima della "regolarizzazione" catastale, si ritiene che non possa essere resa la dichiarazione di conformità "oggettiva" prevista, a pena di nullità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atto, dalla prima parte del comma 1-bis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i/>
          <w:iCs/>
          <w:color w:val="000000" w:themeColor="text1"/>
          <w:sz w:val="27"/>
          <w:szCs w:val="27"/>
          <w:lang w:eastAsia="it-IT"/>
        </w:rPr>
        <w:t>art.</w:t>
      </w:r>
      <w:r w:rsidRPr="00C76875">
        <w:rPr>
          <w:rFonts w:ascii="Verdana" w:eastAsia="Times New Roman" w:hAnsi="Verdana" w:cs="Times New Roman"/>
          <w:i/>
          <w:iCs/>
          <w:color w:val="000000" w:themeColor="text1"/>
          <w:sz w:val="27"/>
          <w:lang w:eastAsia="it-IT"/>
        </w:rPr>
        <w:t> 29 </w:t>
      </w:r>
      <w:r w:rsidRPr="00A7655C">
        <w:rPr>
          <w:rFonts w:ascii="Verdana" w:eastAsia="Times New Roman" w:hAnsi="Verdana" w:cs="Times New Roman"/>
          <w:i/>
          <w:iCs/>
          <w:color w:val="000000" w:themeColor="text1"/>
          <w:sz w:val="27"/>
          <w:szCs w:val="27"/>
          <w:lang w:eastAsia="it-IT"/>
        </w:rPr>
        <w:t>della</w:t>
      </w:r>
      <w:r w:rsidRPr="00C76875">
        <w:rPr>
          <w:rFonts w:ascii="Verdana" w:eastAsia="Times New Roman" w:hAnsi="Verdana" w:cs="Times New Roman"/>
          <w:i/>
          <w:iCs/>
          <w:color w:val="000000" w:themeColor="text1"/>
          <w:sz w:val="27"/>
          <w:lang w:eastAsia="it-IT"/>
        </w:rPr>
        <w:t> L. n. 52 del 1985</w:t>
      </w:r>
      <w:r w:rsidRPr="00C76875">
        <w:rPr>
          <w:rFonts w:ascii="Verdana" w:eastAsia="Times New Roman" w:hAnsi="Verdana" w:cs="Times New Roman"/>
          <w:color w:val="000000" w:themeColor="text1"/>
          <w:sz w:val="27"/>
          <w:lang w:eastAsia="it-IT"/>
        </w:rPr>
        <w:t> </w:t>
      </w:r>
      <w:r w:rsidRPr="00A7655C">
        <w:rPr>
          <w:rFonts w:ascii="Verdana" w:eastAsia="Times New Roman" w:hAnsi="Verdana" w:cs="Times New Roman"/>
          <w:color w:val="000000" w:themeColor="text1"/>
          <w:sz w:val="27"/>
          <w:szCs w:val="27"/>
          <w:lang w:eastAsia="it-IT"/>
        </w:rPr>
        <w:t>(cioè la dichiarazione della conformità dei dati e delle planimetrie catastali con lo stato di fatto degli immobili urbani).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Al fine di verificare la sussistenza della predetta coerenza "oggettiva", infatti, considerato che per le unità immobiliari derivate da fabbricati mai dichiarati non si procede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aggiornamento cartografico e non sono redatti i relativi elaborati grafici, viene a mancare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elemento principale di raffronto, cioè la planimetria depositata in catasto.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Per quanto riguarda, invece, le dichiarazioni di successione, si precisa quanto segue. Qualora nell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attivo ereditario siano ricompresi immobili mai dichiarati, per i quali si è proceduto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iscrizione in catasto, in via transitoria, della rendita presunta, si rappresenta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opportunità di procedere alla completa "regolarizzazione" catastale prima della presentazione della dichiarazione di successione. In difetto, tali immobili devono essere indicati sia con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identificativo del CT, se presente in partita ordinaria, sia con gli identificativi delle UIU, così come individuate al CEU, a cui è stata attribuita la predetta rendita presunta; restano, naturalmente, salvi gli effetti fiscali retroattivi previsti per le successive rendite, proposta e definitiva, stabiliti dall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art. 2, comma 5-bis, del</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D.L. 29 dicembre 2010, n. 225</w:t>
      </w:r>
      <w:r w:rsidRPr="00A7655C">
        <w:rPr>
          <w:rFonts w:ascii="Verdana" w:eastAsia="Times New Roman" w:hAnsi="Verdana" w:cs="Times New Roman"/>
          <w:color w:val="000000" w:themeColor="text1"/>
          <w:sz w:val="27"/>
          <w:szCs w:val="27"/>
          <w:lang w:eastAsia="it-IT"/>
        </w:rPr>
        <w:t>, introdotto in sede di conversione dalla</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L. 26 febbraio 2011, n. 10</w:t>
      </w:r>
      <w:r w:rsidRPr="00A7655C">
        <w:rPr>
          <w:rFonts w:ascii="Verdana" w:eastAsia="Times New Roman" w:hAnsi="Verdana" w:cs="Times New Roman"/>
          <w:color w:val="000000" w:themeColor="text1"/>
          <w:sz w:val="27"/>
          <w:szCs w:val="27"/>
          <w:lang w:eastAsia="it-IT"/>
        </w:rPr>
        <w:t>.</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C76875">
        <w:rPr>
          <w:rFonts w:ascii="Verdana" w:eastAsia="Times New Roman" w:hAnsi="Verdana" w:cs="Times New Roman"/>
          <w:b/>
          <w:bCs/>
          <w:color w:val="000000" w:themeColor="text1"/>
          <w:sz w:val="27"/>
          <w:lang w:eastAsia="it-IT"/>
        </w:rPr>
        <w:t>5.</w:t>
      </w:r>
      <w:r w:rsidRPr="00A7655C">
        <w:rPr>
          <w:rFonts w:ascii="Verdana" w:eastAsia="Times New Roman" w:hAnsi="Verdana" w:cs="Times New Roman"/>
          <w:color w:val="000000" w:themeColor="text1"/>
          <w:sz w:val="27"/>
          <w:szCs w:val="27"/>
          <w:lang w:eastAsia="it-IT"/>
        </w:rPr>
        <w:t> </w:t>
      </w:r>
      <w:r w:rsidRPr="00C76875">
        <w:rPr>
          <w:rFonts w:ascii="Verdana" w:eastAsia="Times New Roman" w:hAnsi="Verdana" w:cs="Times New Roman"/>
          <w:i/>
          <w:iCs/>
          <w:color w:val="000000" w:themeColor="text1"/>
          <w:sz w:val="27"/>
          <w:lang w:eastAsia="it-IT"/>
        </w:rPr>
        <w:t>Notifica degli avvisi di accertamento della rendita presunta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art. 2, comma 5-bis, del</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D.L. n. 225 del 2010</w:t>
      </w:r>
      <w:r w:rsidRPr="00A7655C">
        <w:rPr>
          <w:rFonts w:ascii="Verdana" w:eastAsia="Times New Roman" w:hAnsi="Verdana" w:cs="Times New Roman"/>
          <w:color w:val="000000" w:themeColor="text1"/>
          <w:sz w:val="27"/>
          <w:szCs w:val="27"/>
          <w:lang w:eastAsia="it-IT"/>
        </w:rPr>
        <w:t>, introdotto dalla legge di conversione,</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L. n. 10 del 2011</w:t>
      </w:r>
      <w:r w:rsidRPr="00A7655C">
        <w:rPr>
          <w:rFonts w:ascii="Verdana" w:eastAsia="Times New Roman" w:hAnsi="Verdana" w:cs="Times New Roman"/>
          <w:color w:val="000000" w:themeColor="text1"/>
          <w:sz w:val="27"/>
          <w:szCs w:val="27"/>
          <w:lang w:eastAsia="it-IT"/>
        </w:rPr>
        <w:t>, stabilisce che la notifica degli atti di accertamento della rendita presunta per gli immobili non dichiarati in catasto avviene mediante affissione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albo pretorio dei Comuni ove sono ubicati gli immobili.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avvenuta affissione è data notizia, con comunicato da pubblicare nella Gazzetta Ufficiale, nel sito internet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Agenzia, nonché presso gli Uffici provinciali ed i Comuni interessati.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Preliminarmente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emanazione del richiamato comunicato, è necessario che gli Uffici provinciali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Agenzia provvedano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esecuzione di adempimenti propedeutici, finalizzati ad assicurare il </w:t>
      </w:r>
      <w:r w:rsidRPr="00A7655C">
        <w:rPr>
          <w:rFonts w:ascii="Verdana" w:eastAsia="Times New Roman" w:hAnsi="Verdana" w:cs="Times New Roman"/>
          <w:color w:val="000000" w:themeColor="text1"/>
          <w:sz w:val="27"/>
          <w:szCs w:val="27"/>
          <w:lang w:eastAsia="it-IT"/>
        </w:rPr>
        <w:lastRenderedPageBreak/>
        <w:t>corretto espletamento delle richiamate attività di notifica, conseguenti alle operazioni di registrazione massiva delle rendite presunte, che è programmata in distinte fasi, correlate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andamento dei lavori.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La pubblicazione riguarda tre diverse tipologie di documenti da fornire a ciascun Comune interessato:</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elenco dei contribuenti destinatari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attività di accertamento.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elenco contiene i nominativi dei soggetti, in ordine alfabetico,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identificativo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immobile interessato dalle attività di accertamento ed il protocollo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avviso di accertamento relativo a ciascun soggetto intestatario (in formato </w:t>
      </w:r>
      <w:proofErr w:type="spellStart"/>
      <w:r w:rsidRPr="00A7655C">
        <w:rPr>
          <w:rFonts w:ascii="Verdana" w:eastAsia="Times New Roman" w:hAnsi="Verdana" w:cs="Times New Roman"/>
          <w:color w:val="000000" w:themeColor="text1"/>
          <w:sz w:val="27"/>
          <w:szCs w:val="27"/>
          <w:lang w:eastAsia="it-IT"/>
        </w:rPr>
        <w:t>csv</w:t>
      </w:r>
      <w:proofErr w:type="spellEnd"/>
      <w:r w:rsidRPr="00A7655C">
        <w:rPr>
          <w:rFonts w:ascii="Verdana" w:eastAsia="Times New Roman" w:hAnsi="Verdana" w:cs="Times New Roman"/>
          <w:color w:val="000000" w:themeColor="text1"/>
          <w:sz w:val="27"/>
          <w:szCs w:val="27"/>
          <w:lang w:eastAsia="it-IT"/>
        </w:rPr>
        <w:t xml:space="preserve"> e pdf per la pubblicazione nell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albo on </w:t>
      </w:r>
      <w:proofErr w:type="spellStart"/>
      <w:r w:rsidRPr="00A7655C">
        <w:rPr>
          <w:rFonts w:ascii="Verdana" w:eastAsia="Times New Roman" w:hAnsi="Verdana" w:cs="Times New Roman"/>
          <w:color w:val="000000" w:themeColor="text1"/>
          <w:sz w:val="27"/>
          <w:szCs w:val="27"/>
          <w:lang w:eastAsia="it-IT"/>
        </w:rPr>
        <w:t>line</w:t>
      </w:r>
      <w:proofErr w:type="spellEnd"/>
      <w:r w:rsidRPr="00A7655C">
        <w:rPr>
          <w:rFonts w:ascii="Verdana" w:eastAsia="Times New Roman" w:hAnsi="Verdana" w:cs="Times New Roman"/>
          <w:color w:val="000000" w:themeColor="text1"/>
          <w:sz w:val="27"/>
          <w:szCs w:val="27"/>
          <w:lang w:eastAsia="it-IT"/>
        </w:rPr>
        <w:t xml:space="preserve"> dei Comuni, ai sensi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i/>
          <w:iCs/>
          <w:color w:val="000000" w:themeColor="text1"/>
          <w:sz w:val="27"/>
          <w:szCs w:val="27"/>
          <w:lang w:eastAsia="it-IT"/>
        </w:rPr>
        <w:t>art.</w:t>
      </w:r>
      <w:r w:rsidRPr="00C76875">
        <w:rPr>
          <w:rFonts w:ascii="Verdana" w:eastAsia="Times New Roman" w:hAnsi="Verdana" w:cs="Times New Roman"/>
          <w:i/>
          <w:iCs/>
          <w:color w:val="000000" w:themeColor="text1"/>
          <w:sz w:val="27"/>
          <w:lang w:eastAsia="it-IT"/>
        </w:rPr>
        <w:t> 32 </w:t>
      </w:r>
      <w:r w:rsidRPr="00A7655C">
        <w:rPr>
          <w:rFonts w:ascii="Verdana" w:eastAsia="Times New Roman" w:hAnsi="Verdana" w:cs="Times New Roman"/>
          <w:i/>
          <w:iCs/>
          <w:color w:val="000000" w:themeColor="text1"/>
          <w:sz w:val="27"/>
          <w:szCs w:val="27"/>
          <w:lang w:eastAsia="it-IT"/>
        </w:rPr>
        <w:t>della</w:t>
      </w:r>
      <w:r w:rsidRPr="00C76875">
        <w:rPr>
          <w:rFonts w:ascii="Verdana" w:eastAsia="Times New Roman" w:hAnsi="Verdana" w:cs="Times New Roman"/>
          <w:i/>
          <w:iCs/>
          <w:color w:val="000000" w:themeColor="text1"/>
          <w:sz w:val="27"/>
          <w:lang w:eastAsia="it-IT"/>
        </w:rPr>
        <w:t> L. 18 giugno 2009, n. 69</w:t>
      </w:r>
      <w:r w:rsidRPr="00A7655C">
        <w:rPr>
          <w:rFonts w:ascii="Verdana" w:eastAsia="Times New Roman" w:hAnsi="Verdana" w:cs="Times New Roman"/>
          <w:color w:val="000000" w:themeColor="text1"/>
          <w:sz w:val="27"/>
          <w:szCs w:val="27"/>
          <w:lang w:eastAsia="it-IT"/>
        </w:rPr>
        <w:t>);</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elenco degli immobili interessati dalle attività di accertamento. Tale elenco contiene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identificativo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immobile, i nominativi dei soggetti e il protocollo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avviso di accertamento associato a ciascuno di essi (in formato </w:t>
      </w:r>
      <w:proofErr w:type="spellStart"/>
      <w:r w:rsidRPr="00A7655C">
        <w:rPr>
          <w:rFonts w:ascii="Verdana" w:eastAsia="Times New Roman" w:hAnsi="Verdana" w:cs="Times New Roman"/>
          <w:color w:val="000000" w:themeColor="text1"/>
          <w:sz w:val="27"/>
          <w:szCs w:val="27"/>
          <w:lang w:eastAsia="it-IT"/>
        </w:rPr>
        <w:t>csv</w:t>
      </w:r>
      <w:proofErr w:type="spellEnd"/>
      <w:r w:rsidRPr="00A7655C">
        <w:rPr>
          <w:rFonts w:ascii="Verdana" w:eastAsia="Times New Roman" w:hAnsi="Verdana" w:cs="Times New Roman"/>
          <w:color w:val="000000" w:themeColor="text1"/>
          <w:sz w:val="27"/>
          <w:szCs w:val="27"/>
          <w:lang w:eastAsia="it-IT"/>
        </w:rPr>
        <w:t xml:space="preserve"> e pdf per la pubblicazione nell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albo on </w:t>
      </w:r>
      <w:proofErr w:type="spellStart"/>
      <w:r w:rsidRPr="00A7655C">
        <w:rPr>
          <w:rFonts w:ascii="Verdana" w:eastAsia="Times New Roman" w:hAnsi="Verdana" w:cs="Times New Roman"/>
          <w:color w:val="000000" w:themeColor="text1"/>
          <w:sz w:val="27"/>
          <w:szCs w:val="27"/>
          <w:lang w:eastAsia="it-IT"/>
        </w:rPr>
        <w:t>line</w:t>
      </w:r>
      <w:proofErr w:type="spellEnd"/>
      <w:r w:rsidRPr="00A7655C">
        <w:rPr>
          <w:rFonts w:ascii="Verdana" w:eastAsia="Times New Roman" w:hAnsi="Verdana" w:cs="Times New Roman"/>
          <w:color w:val="000000" w:themeColor="text1"/>
          <w:sz w:val="27"/>
          <w:szCs w:val="27"/>
          <w:lang w:eastAsia="it-IT"/>
        </w:rPr>
        <w:t xml:space="preserve"> dei Comuni, ai sensi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i/>
          <w:iCs/>
          <w:color w:val="000000" w:themeColor="text1"/>
          <w:sz w:val="27"/>
          <w:szCs w:val="27"/>
          <w:lang w:eastAsia="it-IT"/>
        </w:rPr>
        <w:t>art.</w:t>
      </w:r>
      <w:r w:rsidRPr="00C76875">
        <w:rPr>
          <w:rFonts w:ascii="Verdana" w:eastAsia="Times New Roman" w:hAnsi="Verdana" w:cs="Times New Roman"/>
          <w:i/>
          <w:iCs/>
          <w:color w:val="000000" w:themeColor="text1"/>
          <w:sz w:val="27"/>
          <w:lang w:eastAsia="it-IT"/>
        </w:rPr>
        <w:t>32 </w:t>
      </w:r>
      <w:r w:rsidRPr="00A7655C">
        <w:rPr>
          <w:rFonts w:ascii="Verdana" w:eastAsia="Times New Roman" w:hAnsi="Verdana" w:cs="Times New Roman"/>
          <w:i/>
          <w:iCs/>
          <w:color w:val="000000" w:themeColor="text1"/>
          <w:sz w:val="27"/>
          <w:szCs w:val="27"/>
          <w:lang w:eastAsia="it-IT"/>
        </w:rPr>
        <w:t>della</w:t>
      </w:r>
      <w:r w:rsidRPr="00C76875">
        <w:rPr>
          <w:rFonts w:ascii="Verdana" w:eastAsia="Times New Roman" w:hAnsi="Verdana" w:cs="Times New Roman"/>
          <w:i/>
          <w:iCs/>
          <w:color w:val="000000" w:themeColor="text1"/>
          <w:sz w:val="27"/>
          <w:lang w:eastAsia="it-IT"/>
        </w:rPr>
        <w:t> L. 18 giugno 2009, n. 69</w:t>
      </w:r>
      <w:r w:rsidRPr="00A7655C">
        <w:rPr>
          <w:rFonts w:ascii="Verdana" w:eastAsia="Times New Roman" w:hAnsi="Verdana" w:cs="Times New Roman"/>
          <w:color w:val="000000" w:themeColor="text1"/>
          <w:sz w:val="27"/>
          <w:szCs w:val="27"/>
          <w:lang w:eastAsia="it-IT"/>
        </w:rPr>
        <w:t>);</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avvisi di accertamento. Tali avvisi vengono forniti solo su file in formato pdf, individuabili per il tramite del protocollo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avviso di accertamento; la stampa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avviso può essere richiesta soltanto dal soggetto destinatario dello stesso, ovvero da persona da questi delegata, previa identificazione, presso la casa comunale (copia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avviso può essere richiesta anche presso il competente Ufficio provinciale).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Con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avviso di accertamento, oltre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della rendita catastale presunta ai fabbricati non dichiarati, vengono irrogate le sanzioni previste e liquidati i tributi speciali e gli oneri dovuti, determinati secondo i criteri stabiliti dal</w:t>
      </w:r>
      <w:r w:rsidRPr="00C76875">
        <w:rPr>
          <w:rFonts w:ascii="Verdana" w:eastAsia="Times New Roman" w:hAnsi="Verdana" w:cs="Times New Roman"/>
          <w:color w:val="000000" w:themeColor="text1"/>
          <w:sz w:val="27"/>
          <w:lang w:eastAsia="it-IT"/>
        </w:rPr>
        <w:t> </w:t>
      </w:r>
      <w:proofErr w:type="spellStart"/>
      <w:r w:rsidRPr="00C76875">
        <w:rPr>
          <w:rFonts w:ascii="Verdana" w:eastAsia="Times New Roman" w:hAnsi="Verdana" w:cs="Times New Roman"/>
          <w:color w:val="000000" w:themeColor="text1"/>
          <w:sz w:val="27"/>
          <w:lang w:eastAsia="it-IT"/>
        </w:rPr>
        <w:t>Provv</w:t>
      </w:r>
      <w:proofErr w:type="spellEnd"/>
      <w:r w:rsidRPr="00C76875">
        <w:rPr>
          <w:rFonts w:ascii="Verdana" w:eastAsia="Times New Roman" w:hAnsi="Verdana" w:cs="Times New Roman"/>
          <w:color w:val="000000" w:themeColor="text1"/>
          <w:sz w:val="27"/>
          <w:lang w:eastAsia="it-IT"/>
        </w:rPr>
        <w:t>. 19 aprile 2011 </w:t>
      </w:r>
      <w:r w:rsidRPr="00A7655C">
        <w:rPr>
          <w:rFonts w:ascii="Verdana" w:eastAsia="Times New Roman" w:hAnsi="Verdana" w:cs="Times New Roman"/>
          <w:color w:val="000000" w:themeColor="text1"/>
          <w:sz w:val="27"/>
          <w:szCs w:val="27"/>
          <w:lang w:eastAsia="it-IT"/>
        </w:rPr>
        <w:t>del Direttore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Agenzia del Territorio.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In tale contesto, gli Uffici provinciali inviano ai Comuni una specifica comunicazione riportante le modalità e i tempi per la affissione [4].</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Gli Uffici sono invitati a coordinarsi con la massima sollecitudine con i Comuni interessati, al fine di assicurare la tempestiva effettuazione delle attività di competenza e garantire, fra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altro, che già alla data di pubblicazione del comunicato - e per i sessanta giorni previsti - gli atti siano consultabili presso gli albi pretori, nelle forme previste dall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ordinamento, per la pubblicità legale.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lastRenderedPageBreak/>
        <w:t>Il termine di sessanta giorni per la proposizione del ricorso innanzi alla competente Commissione tributaria provinciale decorre una volta trascorsi sessanta giorni dalla data di pubblicazione nella Gazzetta Ufficiale del predetto comunicato.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La conferma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avvenuto inizio delle procedure di affissione deve essere comunicata dagli Uffici provinciali alle Direzioni regionali, che, successivamente, informano la Direzione centrale Catasto e cartografia per la pubblicazione in Gazzetta Ufficiale del previsto comunicato.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Ai sensi del menzionato art. 2, comma 5-bis, del</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D.L. n. 225 del 2010</w:t>
      </w:r>
      <w:r w:rsidRPr="00A7655C">
        <w:rPr>
          <w:rFonts w:ascii="Verdana" w:eastAsia="Times New Roman" w:hAnsi="Verdana" w:cs="Times New Roman"/>
          <w:color w:val="000000" w:themeColor="text1"/>
          <w:sz w:val="27"/>
          <w:szCs w:val="27"/>
          <w:lang w:eastAsia="it-IT"/>
        </w:rPr>
        <w:t>, il comunicato stesso deve essere pubblicato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albo pretorio di ciascun Comune interessato entro la data prefissata e resa nota dall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Agenzia del Territorio. La pubblicazione del comunicato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albo on </w:t>
      </w:r>
      <w:proofErr w:type="spellStart"/>
      <w:r w:rsidRPr="00A7655C">
        <w:rPr>
          <w:rFonts w:ascii="Verdana" w:eastAsia="Times New Roman" w:hAnsi="Verdana" w:cs="Times New Roman"/>
          <w:color w:val="000000" w:themeColor="text1"/>
          <w:sz w:val="27"/>
          <w:szCs w:val="27"/>
          <w:lang w:eastAsia="it-IT"/>
        </w:rPr>
        <w:t>line</w:t>
      </w:r>
      <w:proofErr w:type="spellEnd"/>
      <w:r w:rsidRPr="00A7655C">
        <w:rPr>
          <w:rFonts w:ascii="Verdana" w:eastAsia="Times New Roman" w:hAnsi="Verdana" w:cs="Times New Roman"/>
          <w:color w:val="000000" w:themeColor="text1"/>
          <w:sz w:val="27"/>
          <w:szCs w:val="27"/>
          <w:lang w:eastAsia="it-IT"/>
        </w:rPr>
        <w:t xml:space="preserve"> dei Comuni ha la durata di sessanta giorni.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Al fine di garantire il corretto espletamento delle attività propedeutiche alle procedure di pubblicazione di cui al presente paragrafo, si invitano gli Uffici ad acquisire a livello provinciale, per ciascun Comune, le seguenti utili informazioni che si riportano a titolo esemplificativo:</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censimento in ambito provinciale dei Comuni che gestiscono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albo on-line;</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classificazione delle modalità di accredito e loro individuazione;</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definizione dei tempi di preavviso per garantire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affissione entro i termini stabiliti;</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possibilità di consegna tramite supporti informatici (CD-rom) nel caso in cui il Comune non disponga di strumenti di comunicazione on-line;</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modalità di codifica preliminare degli scambi informativi e definizione dei referenti per la gestione delle varie fasi del rapporto (ricezione degli atti, effettivo avvio della fase di pubblicazione, fine della pubblicazione).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È appena il caso di rammentare che la documentazione prevista per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esecuzione delle notifiche deve essere debitamente conservata, secondo le modalità previste per gli avvisi di accertamento catastale, anche al fine della eventuale esibizione nei procedimenti contenziosi.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0"/>
          <w:szCs w:val="20"/>
          <w:lang w:eastAsia="it-IT"/>
        </w:rPr>
      </w:pPr>
      <w:r w:rsidRPr="00A7655C">
        <w:rPr>
          <w:rFonts w:ascii="Verdana" w:eastAsia="Times New Roman" w:hAnsi="Verdana" w:cs="Times New Roman"/>
          <w:color w:val="000000" w:themeColor="text1"/>
          <w:sz w:val="20"/>
          <w:szCs w:val="20"/>
          <w:lang w:eastAsia="it-IT"/>
        </w:rPr>
        <w:t>[4] Per tale finalità viene definito il termine ultimo t</w:t>
      </w:r>
      <w:r w:rsidRPr="00A7655C">
        <w:rPr>
          <w:rFonts w:ascii="Verdana" w:eastAsia="Times New Roman" w:hAnsi="Verdana" w:cs="Times New Roman"/>
          <w:color w:val="000000" w:themeColor="text1"/>
          <w:sz w:val="20"/>
          <w:szCs w:val="20"/>
          <w:vertAlign w:val="subscript"/>
          <w:lang w:eastAsia="it-IT"/>
        </w:rPr>
        <w:t>0</w:t>
      </w:r>
      <w:r w:rsidRPr="00C76875">
        <w:rPr>
          <w:rFonts w:ascii="Verdana" w:eastAsia="Times New Roman" w:hAnsi="Verdana" w:cs="Times New Roman"/>
          <w:color w:val="000000" w:themeColor="text1"/>
          <w:sz w:val="20"/>
          <w:szCs w:val="20"/>
          <w:lang w:eastAsia="it-IT"/>
        </w:rPr>
        <w:t> </w:t>
      </w:r>
      <w:r w:rsidRPr="00A7655C">
        <w:rPr>
          <w:rFonts w:ascii="Verdana" w:eastAsia="Times New Roman" w:hAnsi="Verdana" w:cs="Times New Roman"/>
          <w:color w:val="000000" w:themeColor="text1"/>
          <w:sz w:val="20"/>
          <w:szCs w:val="20"/>
          <w:lang w:eastAsia="it-IT"/>
        </w:rPr>
        <w:t>entro cui deve essere inoltrata la comunicazione da parte degli Uffici, la data t</w:t>
      </w:r>
      <w:r w:rsidRPr="00A7655C">
        <w:rPr>
          <w:rFonts w:ascii="Verdana" w:eastAsia="Times New Roman" w:hAnsi="Verdana" w:cs="Times New Roman"/>
          <w:color w:val="000000" w:themeColor="text1"/>
          <w:sz w:val="20"/>
          <w:szCs w:val="20"/>
          <w:vertAlign w:val="subscript"/>
          <w:lang w:eastAsia="it-IT"/>
        </w:rPr>
        <w:t>1</w:t>
      </w:r>
      <w:r w:rsidRPr="00C76875">
        <w:rPr>
          <w:rFonts w:ascii="Verdana" w:eastAsia="Times New Roman" w:hAnsi="Verdana" w:cs="Times New Roman"/>
          <w:color w:val="000000" w:themeColor="text1"/>
          <w:sz w:val="20"/>
          <w:szCs w:val="20"/>
          <w:lang w:eastAsia="it-IT"/>
        </w:rPr>
        <w:t> </w:t>
      </w:r>
      <w:r w:rsidRPr="00A7655C">
        <w:rPr>
          <w:rFonts w:ascii="Verdana" w:eastAsia="Times New Roman" w:hAnsi="Verdana" w:cs="Times New Roman"/>
          <w:color w:val="000000" w:themeColor="text1"/>
          <w:sz w:val="20"/>
          <w:szCs w:val="20"/>
          <w:lang w:eastAsia="it-IT"/>
        </w:rPr>
        <w:t>a partire dalla quale deve essere necessariamente attivata la pubblicazione, la data t</w:t>
      </w:r>
      <w:r w:rsidRPr="00A7655C">
        <w:rPr>
          <w:rFonts w:ascii="Verdana" w:eastAsia="Times New Roman" w:hAnsi="Verdana" w:cs="Times New Roman"/>
          <w:color w:val="000000" w:themeColor="text1"/>
          <w:sz w:val="20"/>
          <w:szCs w:val="20"/>
          <w:vertAlign w:val="subscript"/>
          <w:lang w:eastAsia="it-IT"/>
        </w:rPr>
        <w:t>2</w:t>
      </w:r>
      <w:r w:rsidRPr="00C76875">
        <w:rPr>
          <w:rFonts w:ascii="Verdana" w:eastAsia="Times New Roman" w:hAnsi="Verdana" w:cs="Times New Roman"/>
          <w:color w:val="000000" w:themeColor="text1"/>
          <w:sz w:val="20"/>
          <w:szCs w:val="20"/>
          <w:lang w:eastAsia="it-IT"/>
        </w:rPr>
        <w:t> </w:t>
      </w:r>
      <w:r w:rsidRPr="00A7655C">
        <w:rPr>
          <w:rFonts w:ascii="Verdana" w:eastAsia="Times New Roman" w:hAnsi="Verdana" w:cs="Times New Roman"/>
          <w:color w:val="000000" w:themeColor="text1"/>
          <w:sz w:val="20"/>
          <w:szCs w:val="20"/>
          <w:lang w:eastAsia="it-IT"/>
        </w:rPr>
        <w:t>entro cui i Comuni debbono trasmettere all</w:t>
      </w:r>
      <w:r w:rsidR="00C76875" w:rsidRPr="00C76875">
        <w:rPr>
          <w:rFonts w:ascii="Verdana" w:eastAsia="Times New Roman" w:hAnsi="Verdana" w:cs="Times New Roman"/>
          <w:color w:val="000000" w:themeColor="text1"/>
          <w:sz w:val="20"/>
          <w:szCs w:val="20"/>
          <w:lang w:eastAsia="it-IT"/>
        </w:rPr>
        <w:t>’</w:t>
      </w:r>
      <w:r w:rsidRPr="00A7655C">
        <w:rPr>
          <w:rFonts w:ascii="Verdana" w:eastAsia="Times New Roman" w:hAnsi="Verdana" w:cs="Times New Roman"/>
          <w:color w:val="000000" w:themeColor="text1"/>
          <w:sz w:val="20"/>
          <w:szCs w:val="20"/>
          <w:lang w:eastAsia="it-IT"/>
        </w:rPr>
        <w:t>Ufficio provinciale la dichiarazione di effettivo inizio della pubblicazione, ecc.</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C76875">
        <w:rPr>
          <w:rFonts w:ascii="Verdana" w:eastAsia="Times New Roman" w:hAnsi="Verdana" w:cs="Times New Roman"/>
          <w:b/>
          <w:bCs/>
          <w:color w:val="000000" w:themeColor="text1"/>
          <w:sz w:val="27"/>
          <w:lang w:eastAsia="it-IT"/>
        </w:rPr>
        <w:t>6.</w:t>
      </w:r>
      <w:r w:rsidRPr="00A7655C">
        <w:rPr>
          <w:rFonts w:ascii="Verdana" w:eastAsia="Times New Roman" w:hAnsi="Verdana" w:cs="Times New Roman"/>
          <w:color w:val="000000" w:themeColor="text1"/>
          <w:sz w:val="27"/>
          <w:szCs w:val="27"/>
          <w:lang w:eastAsia="it-IT"/>
        </w:rPr>
        <w:t> </w:t>
      </w:r>
      <w:r w:rsidRPr="00C76875">
        <w:rPr>
          <w:rFonts w:ascii="Verdana" w:eastAsia="Times New Roman" w:hAnsi="Verdana" w:cs="Times New Roman"/>
          <w:i/>
          <w:iCs/>
          <w:color w:val="000000" w:themeColor="text1"/>
          <w:sz w:val="27"/>
          <w:lang w:eastAsia="it-IT"/>
        </w:rPr>
        <w:t>Contenzioso e autotutela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Come accennato, la rendita presunta, da iscrivere transitoriamente in catasto, è determinata seguendo i peculiari criteri individuati dal richiamato</w:t>
      </w:r>
      <w:r w:rsidRPr="00C76875">
        <w:rPr>
          <w:rFonts w:ascii="Verdana" w:eastAsia="Times New Roman" w:hAnsi="Verdana" w:cs="Times New Roman"/>
          <w:color w:val="000000" w:themeColor="text1"/>
          <w:sz w:val="27"/>
          <w:lang w:eastAsia="it-IT"/>
        </w:rPr>
        <w:t> </w:t>
      </w:r>
      <w:proofErr w:type="spellStart"/>
      <w:r w:rsidRPr="00C76875">
        <w:rPr>
          <w:rFonts w:ascii="Verdana" w:eastAsia="Times New Roman" w:hAnsi="Verdana" w:cs="Times New Roman"/>
          <w:color w:val="000000" w:themeColor="text1"/>
          <w:sz w:val="27"/>
          <w:lang w:eastAsia="it-IT"/>
        </w:rPr>
        <w:t>Provv</w:t>
      </w:r>
      <w:proofErr w:type="spellEnd"/>
      <w:r w:rsidRPr="00C76875">
        <w:rPr>
          <w:rFonts w:ascii="Verdana" w:eastAsia="Times New Roman" w:hAnsi="Verdana" w:cs="Times New Roman"/>
          <w:color w:val="000000" w:themeColor="text1"/>
          <w:sz w:val="27"/>
          <w:lang w:eastAsia="it-IT"/>
        </w:rPr>
        <w:t>. 19 aprile 2011 </w:t>
      </w:r>
      <w:r w:rsidRPr="00A7655C">
        <w:rPr>
          <w:rFonts w:ascii="Verdana" w:eastAsia="Times New Roman" w:hAnsi="Verdana" w:cs="Times New Roman"/>
          <w:color w:val="000000" w:themeColor="text1"/>
          <w:sz w:val="27"/>
          <w:szCs w:val="27"/>
          <w:lang w:eastAsia="it-IT"/>
        </w:rPr>
        <w:t>del Direttore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Agenzia.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In considerazione della peculiare natura del procedimento di attribuzione della rendita presunta, nonché del carattere presuntivo e transitorio della stessa, le richieste di riesame in autotutela degli avvisi di accertamento per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della rendita presunta possono essere presentate in relazione alle seguenti ipotesi:</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errata intestazione della particella su cui è stato edificato il fabbricato non dichiarato;</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verifica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obbligo di accatastamento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immobile (cioè dell</w:t>
      </w:r>
      <w:r w:rsidR="00C76875" w:rsidRPr="00C76875">
        <w:rPr>
          <w:rFonts w:ascii="Verdana" w:eastAsia="Times New Roman" w:hAnsi="Verdana" w:cs="Times New Roman"/>
          <w:color w:val="000000" w:themeColor="text1"/>
          <w:sz w:val="27"/>
          <w:szCs w:val="27"/>
          <w:lang w:eastAsia="it-IT"/>
        </w:rPr>
        <w:t>’</w:t>
      </w:r>
      <w:proofErr w:type="spellStart"/>
      <w:r w:rsidRPr="00A7655C">
        <w:rPr>
          <w:rFonts w:ascii="Verdana" w:eastAsia="Times New Roman" w:hAnsi="Verdana" w:cs="Times New Roman"/>
          <w:color w:val="000000" w:themeColor="text1"/>
          <w:sz w:val="27"/>
          <w:szCs w:val="27"/>
          <w:lang w:eastAsia="it-IT"/>
        </w:rPr>
        <w:t>accatastabilità</w:t>
      </w:r>
      <w:proofErr w:type="spellEnd"/>
      <w:r w:rsidRPr="00A7655C">
        <w:rPr>
          <w:rFonts w:ascii="Verdana" w:eastAsia="Times New Roman" w:hAnsi="Verdana" w:cs="Times New Roman"/>
          <w:color w:val="000000" w:themeColor="text1"/>
          <w:sz w:val="27"/>
          <w:szCs w:val="27"/>
          <w:lang w:eastAsia="it-IT"/>
        </w:rPr>
        <w:t xml:space="preserve"> o meno del fabbricato);</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avvenuta presentazione di una dichiarazione di aggiornamento catastale;</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quantificazione delle sanzioni, dei tributi e degli oneri connessi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della rendita presunta.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Ai fini del riesame, è necessario che la richiesta sia debitamente motivata e corredata da idonea documentazione.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Per quanto riguarda, invece, eventuali errori o inesattezze di elementi, dati o parametri utilizzati per la determinazione della rendita presunta, i soggetti destinatari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avviso di accertamento sono tenuti alla presentazione delle dichiarazioni di aggiornamento in catasto, secondo le modalità previste dal</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D.M. 19 aprile 1994, n. 701</w:t>
      </w:r>
      <w:r w:rsidRPr="00C76875">
        <w:rPr>
          <w:rFonts w:ascii="Verdana" w:eastAsia="Times New Roman" w:hAnsi="Verdana" w:cs="Times New Roman"/>
          <w:color w:val="000000" w:themeColor="text1"/>
          <w:sz w:val="27"/>
          <w:lang w:eastAsia="it-IT"/>
        </w:rPr>
        <w:t> </w:t>
      </w:r>
      <w:r w:rsidRPr="00A7655C">
        <w:rPr>
          <w:rFonts w:ascii="Verdana" w:eastAsia="Times New Roman" w:hAnsi="Verdana" w:cs="Times New Roman"/>
          <w:color w:val="000000" w:themeColor="text1"/>
          <w:sz w:val="27"/>
          <w:szCs w:val="27"/>
          <w:lang w:eastAsia="it-IT"/>
        </w:rPr>
        <w:t>del Ministro delle Finanze, utilizzando le procedure disponibili (</w:t>
      </w:r>
      <w:proofErr w:type="spellStart"/>
      <w:r w:rsidRPr="00A7655C">
        <w:rPr>
          <w:rFonts w:ascii="Verdana" w:eastAsia="Times New Roman" w:hAnsi="Verdana" w:cs="Times New Roman"/>
          <w:color w:val="000000" w:themeColor="text1"/>
          <w:sz w:val="27"/>
          <w:szCs w:val="27"/>
          <w:lang w:eastAsia="it-IT"/>
        </w:rPr>
        <w:t>Pregeo</w:t>
      </w:r>
      <w:proofErr w:type="spellEnd"/>
      <w:r w:rsidRPr="00A7655C">
        <w:rPr>
          <w:rFonts w:ascii="Verdana" w:eastAsia="Times New Roman" w:hAnsi="Verdana" w:cs="Times New Roman"/>
          <w:color w:val="000000" w:themeColor="text1"/>
          <w:sz w:val="27"/>
          <w:szCs w:val="27"/>
          <w:lang w:eastAsia="it-IT"/>
        </w:rPr>
        <w:t xml:space="preserve"> e Docfa).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Resta salva, ovviamente, la facoltà di proporre ricorso avverso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avviso di accertamento innanzi alla competente Commissione tributaria </w:t>
      </w:r>
      <w:r w:rsidRPr="00A7655C">
        <w:rPr>
          <w:rFonts w:ascii="Verdana" w:eastAsia="Times New Roman" w:hAnsi="Verdana" w:cs="Times New Roman"/>
          <w:color w:val="000000" w:themeColor="text1"/>
          <w:sz w:val="27"/>
          <w:szCs w:val="27"/>
          <w:lang w:eastAsia="it-IT"/>
        </w:rPr>
        <w:lastRenderedPageBreak/>
        <w:t>provinciale, ai sensi delle disposizioni recate dal</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D.Lgs. 31 dicembre 1992, n. 546</w:t>
      </w:r>
      <w:r w:rsidRPr="00A7655C">
        <w:rPr>
          <w:rFonts w:ascii="Verdana" w:eastAsia="Times New Roman" w:hAnsi="Verdana" w:cs="Times New Roman"/>
          <w:color w:val="000000" w:themeColor="text1"/>
          <w:sz w:val="27"/>
          <w:szCs w:val="27"/>
          <w:lang w:eastAsia="it-IT"/>
        </w:rPr>
        <w:t>, e successive modifiche e integrazioni.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C76875">
        <w:rPr>
          <w:rFonts w:ascii="Verdana" w:eastAsia="Times New Roman" w:hAnsi="Verdana" w:cs="Times New Roman"/>
          <w:b/>
          <w:bCs/>
          <w:color w:val="000000" w:themeColor="text1"/>
          <w:sz w:val="27"/>
          <w:lang w:eastAsia="it-IT"/>
        </w:rPr>
        <w:t>7.</w:t>
      </w:r>
      <w:r w:rsidRPr="00A7655C">
        <w:rPr>
          <w:rFonts w:ascii="Verdana" w:eastAsia="Times New Roman" w:hAnsi="Verdana" w:cs="Times New Roman"/>
          <w:color w:val="000000" w:themeColor="text1"/>
          <w:sz w:val="27"/>
          <w:szCs w:val="27"/>
          <w:lang w:eastAsia="it-IT"/>
        </w:rPr>
        <w:t> </w:t>
      </w:r>
      <w:r w:rsidRPr="00C76875">
        <w:rPr>
          <w:rFonts w:ascii="Verdana" w:eastAsia="Times New Roman" w:hAnsi="Verdana" w:cs="Times New Roman"/>
          <w:i/>
          <w:iCs/>
          <w:color w:val="000000" w:themeColor="text1"/>
          <w:sz w:val="27"/>
          <w:lang w:eastAsia="it-IT"/>
        </w:rPr>
        <w:t>Conclusioni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Le attività poste in essere, con riferimento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della rendita presunta, in considerazione della quantità dei dati trattati, necessitano di un ampio coinvolgimento delle categorie professionali interessate, nonché di una fattiva collaborazione con i Comuni, anche in considerazione della complessità delle attività propedeutiche alla notifica degli avvisi di accertamento, al fine del perseguimento del raggiungimento degli obiettivi fissati dal Legislatore.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Ovviamente, le attività poste in essere saranno reiterate anche successivamente, sia per il completamento delle attività già intraprese, sia in relazione ai nuovi adempimenti connessi al monitoraggio costante del territorio.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Gli Uffici provinciali sono invitati al puntuale rispetto delle indicazioni fornite con la presente circolare e le Direzioni regionali a verificarne la corretta applicazione, oltre che ad espletare gli adempimenti di propria competenza.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right"/>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Il Direttore</w:t>
      </w:r>
    </w:p>
    <w:p w:rsidR="00A7655C" w:rsidRPr="00A7655C" w:rsidRDefault="00A7655C" w:rsidP="00A7655C">
      <w:pPr>
        <w:spacing w:before="100" w:beforeAutospacing="1" w:after="100" w:afterAutospacing="1" w:line="240" w:lineRule="auto"/>
        <w:jc w:val="right"/>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Franco Maggio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w:t>
      </w:r>
    </w:p>
    <w:p w:rsidR="00A7655C" w:rsidRPr="00A7655C" w:rsidRDefault="00A7655C" w:rsidP="00A7655C">
      <w:pPr>
        <w:spacing w:before="100" w:beforeAutospacing="1" w:after="100" w:afterAutospacing="1" w:line="240" w:lineRule="auto"/>
        <w:jc w:val="right"/>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Allegato 1</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center"/>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Criteri di registrazione della rendita presunta nelle banche dati del catasto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Gli aggiornamenti delle banche dati sono effettuati secondo le modalità di seguito indicate: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Aggiornamento della base dati censuaria di Catasto Terreni</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a) Particella individuata a "partita speciale 1" (Enti urbani e promiscui) o in altra partita speciale - In tale ipotesi, non viene operata alcuna variazione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identificativo; si procede invece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apposizione della specifica annotazione: "Particella interessata da immobile urbano non regolarizzato ai sensi del</w:t>
      </w:r>
      <w:r w:rsidRPr="00C76875">
        <w:rPr>
          <w:rFonts w:ascii="Verdana" w:eastAsia="Times New Roman" w:hAnsi="Verdana" w:cs="Times New Roman"/>
          <w:color w:val="000000" w:themeColor="text1"/>
          <w:sz w:val="27"/>
          <w:lang w:eastAsia="it-IT"/>
        </w:rPr>
        <w:t> </w:t>
      </w:r>
      <w:proofErr w:type="spellStart"/>
      <w:r w:rsidRPr="00C76875">
        <w:rPr>
          <w:rFonts w:ascii="Verdana" w:eastAsia="Times New Roman" w:hAnsi="Verdana" w:cs="Times New Roman"/>
          <w:i/>
          <w:iCs/>
          <w:color w:val="000000" w:themeColor="text1"/>
          <w:sz w:val="27"/>
          <w:lang w:eastAsia="it-IT"/>
        </w:rPr>
        <w:t>DL</w:t>
      </w:r>
      <w:proofErr w:type="spellEnd"/>
      <w:r w:rsidRPr="00C76875">
        <w:rPr>
          <w:rFonts w:ascii="Verdana" w:eastAsia="Times New Roman" w:hAnsi="Verdana" w:cs="Times New Roman"/>
          <w:i/>
          <w:iCs/>
          <w:color w:val="000000" w:themeColor="text1"/>
          <w:sz w:val="27"/>
          <w:lang w:eastAsia="it-IT"/>
        </w:rPr>
        <w:t xml:space="preserve"> 78/2010</w:t>
      </w:r>
      <w:r w:rsidRPr="00A7655C">
        <w:rPr>
          <w:rFonts w:ascii="Verdana" w:eastAsia="Times New Roman" w:hAnsi="Verdana" w:cs="Times New Roman"/>
          <w:color w:val="000000" w:themeColor="text1"/>
          <w:sz w:val="27"/>
          <w:szCs w:val="27"/>
          <w:lang w:eastAsia="it-IT"/>
        </w:rPr>
        <w:t>")</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b) Particella non registrata nelle suddette partite speciali - In tale ipotesi,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aggiornamento comporta:</w:t>
      </w:r>
    </w:p>
    <w:p w:rsidR="00A7655C" w:rsidRPr="00A7655C" w:rsidRDefault="00A7655C" w:rsidP="00A7655C">
      <w:pPr>
        <w:spacing w:before="100" w:beforeAutospacing="1" w:after="100" w:afterAutospacing="1" w:line="240" w:lineRule="auto"/>
        <w:ind w:firstLine="6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apposizione sulla particella esistente della sola annotazione di immobile "Particella interessata da immobile urbano non ancora regolarizzato ai sensi del</w:t>
      </w:r>
      <w:r w:rsidRPr="00C76875">
        <w:rPr>
          <w:rFonts w:ascii="Verdana" w:eastAsia="Times New Roman" w:hAnsi="Verdana" w:cs="Times New Roman"/>
          <w:color w:val="000000" w:themeColor="text1"/>
          <w:sz w:val="27"/>
          <w:lang w:eastAsia="it-IT"/>
        </w:rPr>
        <w:t> </w:t>
      </w:r>
      <w:proofErr w:type="spellStart"/>
      <w:r w:rsidRPr="00C76875">
        <w:rPr>
          <w:rFonts w:ascii="Verdana" w:eastAsia="Times New Roman" w:hAnsi="Verdana" w:cs="Times New Roman"/>
          <w:i/>
          <w:iCs/>
          <w:color w:val="000000" w:themeColor="text1"/>
          <w:sz w:val="27"/>
          <w:lang w:eastAsia="it-IT"/>
        </w:rPr>
        <w:t>DL</w:t>
      </w:r>
      <w:proofErr w:type="spellEnd"/>
      <w:r w:rsidRPr="00C76875">
        <w:rPr>
          <w:rFonts w:ascii="Verdana" w:eastAsia="Times New Roman" w:hAnsi="Verdana" w:cs="Times New Roman"/>
          <w:i/>
          <w:iCs/>
          <w:color w:val="000000" w:themeColor="text1"/>
          <w:sz w:val="27"/>
          <w:lang w:eastAsia="it-IT"/>
        </w:rPr>
        <w:t xml:space="preserve"> 78/2010</w:t>
      </w:r>
      <w:r w:rsidRPr="00C76875">
        <w:rPr>
          <w:rFonts w:ascii="Verdana" w:eastAsia="Times New Roman" w:hAnsi="Verdana" w:cs="Times New Roman"/>
          <w:color w:val="000000" w:themeColor="text1"/>
          <w:sz w:val="27"/>
          <w:lang w:eastAsia="it-IT"/>
        </w:rPr>
        <w:t> </w:t>
      </w:r>
      <w:r w:rsidRPr="00A7655C">
        <w:rPr>
          <w:rFonts w:ascii="Verdana" w:eastAsia="Times New Roman" w:hAnsi="Verdana" w:cs="Times New Roman"/>
          <w:color w:val="000000" w:themeColor="text1"/>
          <w:sz w:val="27"/>
          <w:szCs w:val="27"/>
          <w:lang w:eastAsia="it-IT"/>
        </w:rPr>
        <w:t>- Al momento della presentazione del TM dovrà assumere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identificativo già utilizzato al CEU". Non va operata alcuna variazione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identificativo, della qualità colturale e degli intestatari catastali;</w:t>
      </w:r>
    </w:p>
    <w:p w:rsidR="00A7655C" w:rsidRPr="00A7655C" w:rsidRDefault="00A7655C" w:rsidP="00A7655C">
      <w:pPr>
        <w:spacing w:before="100" w:beforeAutospacing="1" w:after="100" w:afterAutospacing="1" w:line="240" w:lineRule="auto"/>
        <w:ind w:firstLine="6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la prenotazione, a modello 50 (elenco particelle), di un nuovo numero di mappa che viene assunto nell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aggiornamento al CEU e posto in correlazione con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identificativo della particella già individuata a CT.</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Se la consistenza della particella risulta inferiore o uguale alla soglia di 3.000 m</w:t>
      </w:r>
      <w:r w:rsidRPr="00A7655C">
        <w:rPr>
          <w:rFonts w:ascii="Verdana" w:eastAsia="Times New Roman" w:hAnsi="Verdana" w:cs="Times New Roman"/>
          <w:color w:val="000000" w:themeColor="text1"/>
          <w:sz w:val="27"/>
          <w:szCs w:val="27"/>
          <w:vertAlign w:val="superscript"/>
          <w:lang w:eastAsia="it-IT"/>
        </w:rPr>
        <w:t>2</w:t>
      </w:r>
      <w:r w:rsidRPr="00A7655C">
        <w:rPr>
          <w:rFonts w:ascii="Verdana" w:eastAsia="Times New Roman" w:hAnsi="Verdana" w:cs="Times New Roman"/>
          <w:color w:val="000000" w:themeColor="text1"/>
          <w:sz w:val="27"/>
          <w:szCs w:val="27"/>
          <w:lang w:eastAsia="it-IT"/>
        </w:rPr>
        <w:t>, la procedura provvede alla modifica della qualità colturale esistente nella destinazione specifica individuata dal codice 283 - "Fabbricato urbano da accertare".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Aggiornamento della base dati censuaria di Catasto Edilizio Urbano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Con la registrazione della proposta di aggiornamento, è generato, al CEU, un numero di unità immobiliari urbane, individuato secondo i criteri indicati al paragrafo 2 della circolare; per ciascuna unità immobiliare interessata viene apposta la specifica annotazione: "Rendita presunta attribuita ai sensi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i/>
          <w:iCs/>
          <w:color w:val="000000" w:themeColor="text1"/>
          <w:sz w:val="27"/>
          <w:szCs w:val="27"/>
          <w:lang w:eastAsia="it-IT"/>
        </w:rPr>
        <w:t>art.</w:t>
      </w:r>
      <w:r w:rsidRPr="00C76875">
        <w:rPr>
          <w:rFonts w:ascii="Verdana" w:eastAsia="Times New Roman" w:hAnsi="Verdana" w:cs="Times New Roman"/>
          <w:i/>
          <w:iCs/>
          <w:color w:val="000000" w:themeColor="text1"/>
          <w:sz w:val="27"/>
          <w:lang w:eastAsia="it-IT"/>
        </w:rPr>
        <w:t>19, comma 10</w:t>
      </w:r>
      <w:r w:rsidRPr="00A7655C">
        <w:rPr>
          <w:rFonts w:ascii="Verdana" w:eastAsia="Times New Roman" w:hAnsi="Verdana" w:cs="Times New Roman"/>
          <w:i/>
          <w:iCs/>
          <w:color w:val="000000" w:themeColor="text1"/>
          <w:sz w:val="27"/>
          <w:szCs w:val="27"/>
          <w:lang w:eastAsia="it-IT"/>
        </w:rPr>
        <w:t>, del</w:t>
      </w:r>
      <w:r w:rsidRPr="00C76875">
        <w:rPr>
          <w:rFonts w:ascii="Verdana" w:eastAsia="Times New Roman" w:hAnsi="Verdana" w:cs="Times New Roman"/>
          <w:i/>
          <w:iCs/>
          <w:color w:val="000000" w:themeColor="text1"/>
          <w:sz w:val="27"/>
          <w:lang w:eastAsia="it-IT"/>
        </w:rPr>
        <w:t> </w:t>
      </w:r>
      <w:proofErr w:type="spellStart"/>
      <w:r w:rsidRPr="00C76875">
        <w:rPr>
          <w:rFonts w:ascii="Verdana" w:eastAsia="Times New Roman" w:hAnsi="Verdana" w:cs="Times New Roman"/>
          <w:i/>
          <w:iCs/>
          <w:color w:val="000000" w:themeColor="text1"/>
          <w:sz w:val="27"/>
          <w:lang w:eastAsia="it-IT"/>
        </w:rPr>
        <w:t>DL</w:t>
      </w:r>
      <w:proofErr w:type="spellEnd"/>
      <w:r w:rsidRPr="00C76875">
        <w:rPr>
          <w:rFonts w:ascii="Verdana" w:eastAsia="Times New Roman" w:hAnsi="Verdana" w:cs="Times New Roman"/>
          <w:i/>
          <w:iCs/>
          <w:color w:val="000000" w:themeColor="text1"/>
          <w:sz w:val="27"/>
          <w:lang w:eastAsia="it-IT"/>
        </w:rPr>
        <w:t xml:space="preserve"> 78/2010</w:t>
      </w:r>
      <w:r w:rsidRPr="00A7655C">
        <w:rPr>
          <w:rFonts w:ascii="Verdana" w:eastAsia="Times New Roman" w:hAnsi="Verdana" w:cs="Times New Roman"/>
          <w:color w:val="000000" w:themeColor="text1"/>
          <w:sz w:val="27"/>
          <w:szCs w:val="27"/>
          <w:lang w:eastAsia="it-IT"/>
        </w:rPr>
        <w:t>".</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Le unità immobiliari vengono generate nella banca dati del CEU, con modalità diverse a seconda dei casi riportati al precedente punto "Aggiornamento della base dati censuaria di Catasto Terreni".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lastRenderedPageBreak/>
        <w:t>In particolare:</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nei casi riconducibili alla precedente lettera a), corrispondenti a particelle di CT già individuate a "partita speciale 1" o in altra partita speciale,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identificativo catastale al CEU è già presente e correlato; ogni nuova unità immobiliare urbana assume il medesimo identificativo (foglio e mappale) ed è associata al primo subalterno disponibile;</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nei casi di cui alla precedente lettera b), le UIU assumono gli stessi identificativi di foglio e mappale prenotati a modello 50 per la particella di CT - interessata dalla proposta di aggiornamento - ed alle stesse sono associati tanti subalterni, quante sono le UIU di nuova individuazione.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Ad ogni unità immobiliare oggetto di accertamento sono attribuite la categoria catastale propria della destinazione riscontrata in sopralluogo - con esclusione delle destinazioni rurali (D/10 e A/6, classe R), per le quali sono necessari specifici accertamenti - e, per le categorie ordinarie, la classe corrispondente a quella mediana della zona censuaria di appartenenza, secondo i criteri individuati dal</w:t>
      </w:r>
      <w:r w:rsidRPr="00C76875">
        <w:rPr>
          <w:rFonts w:ascii="Verdana" w:eastAsia="Times New Roman" w:hAnsi="Verdana" w:cs="Times New Roman"/>
          <w:color w:val="000000" w:themeColor="text1"/>
          <w:sz w:val="27"/>
          <w:lang w:eastAsia="it-IT"/>
        </w:rPr>
        <w:t> </w:t>
      </w:r>
      <w:proofErr w:type="spellStart"/>
      <w:r w:rsidRPr="00C76875">
        <w:rPr>
          <w:rFonts w:ascii="Verdana" w:eastAsia="Times New Roman" w:hAnsi="Verdana" w:cs="Times New Roman"/>
          <w:color w:val="000000" w:themeColor="text1"/>
          <w:sz w:val="27"/>
          <w:lang w:eastAsia="it-IT"/>
        </w:rPr>
        <w:t>Provv</w:t>
      </w:r>
      <w:proofErr w:type="spellEnd"/>
      <w:r w:rsidRPr="00C76875">
        <w:rPr>
          <w:rFonts w:ascii="Verdana" w:eastAsia="Times New Roman" w:hAnsi="Verdana" w:cs="Times New Roman"/>
          <w:color w:val="000000" w:themeColor="text1"/>
          <w:sz w:val="27"/>
          <w:lang w:eastAsia="it-IT"/>
        </w:rPr>
        <w:t>. 19 aprile 2011 </w:t>
      </w:r>
      <w:r w:rsidRPr="00A7655C">
        <w:rPr>
          <w:rFonts w:ascii="Verdana" w:eastAsia="Times New Roman" w:hAnsi="Verdana" w:cs="Times New Roman"/>
          <w:color w:val="000000" w:themeColor="text1"/>
          <w:sz w:val="27"/>
          <w:szCs w:val="27"/>
          <w:lang w:eastAsia="it-IT"/>
        </w:rPr>
        <w:t>del Direttore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Agenzia del Territorio.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Alle UIU vengono associate, nel database planimetrico, convenzionalmente, schede in cui è riportata esclusivamente la seguente dicitura: "planimetria assente - attribuzione di RC presunta".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Criteri per l</w:t>
      </w:r>
      <w:r w:rsidR="00C76875" w:rsidRPr="00C76875">
        <w:rPr>
          <w:rFonts w:ascii="Verdana" w:eastAsia="Times New Roman" w:hAnsi="Verdana" w:cs="Times New Roman"/>
          <w:b/>
          <w:bCs/>
          <w:color w:val="000000" w:themeColor="text1"/>
          <w:sz w:val="27"/>
          <w:szCs w:val="27"/>
          <w:lang w:eastAsia="it-IT"/>
        </w:rPr>
        <w:t>’</w:t>
      </w:r>
      <w:r w:rsidRPr="00A7655C">
        <w:rPr>
          <w:rFonts w:ascii="Verdana" w:eastAsia="Times New Roman" w:hAnsi="Verdana" w:cs="Times New Roman"/>
          <w:b/>
          <w:bCs/>
          <w:color w:val="000000" w:themeColor="text1"/>
          <w:sz w:val="27"/>
          <w:szCs w:val="27"/>
          <w:lang w:eastAsia="it-IT"/>
        </w:rPr>
        <w:t>individuazione dell</w:t>
      </w:r>
      <w:r w:rsidR="00C76875" w:rsidRPr="00C76875">
        <w:rPr>
          <w:rFonts w:ascii="Verdana" w:eastAsia="Times New Roman" w:hAnsi="Verdana" w:cs="Times New Roman"/>
          <w:b/>
          <w:bCs/>
          <w:color w:val="000000" w:themeColor="text1"/>
          <w:sz w:val="27"/>
          <w:szCs w:val="27"/>
          <w:lang w:eastAsia="it-IT"/>
        </w:rPr>
        <w:t>’</w:t>
      </w:r>
      <w:r w:rsidRPr="00A7655C">
        <w:rPr>
          <w:rFonts w:ascii="Verdana" w:eastAsia="Times New Roman" w:hAnsi="Verdana" w:cs="Times New Roman"/>
          <w:b/>
          <w:bCs/>
          <w:color w:val="000000" w:themeColor="text1"/>
          <w:sz w:val="27"/>
          <w:szCs w:val="27"/>
          <w:lang w:eastAsia="it-IT"/>
        </w:rPr>
        <w:t>intestazione catastale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intestazione catastale di ciascuna unità immobiliare è attribuita secondo i criteri seguenti:</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corrisponde a quella già esistente al CEU, qualora la particella originaria di CT sia individuata a "partita speciale 1", o in altra partita speciale, e tutte le unità immobiliari urbane sulle corrispondenti particelle al CEU siano intestate alla stessa ditta;</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si identifica con quella proveniente dalla particella originaria di CT, qualora quest</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ultima sia censita in partita ordinaria.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xml:space="preserve">Nel caso in cui le UIU preesistenti sulla particella interessata da un fabbricato mai dichiarato siano intestate a più ditte, la nuova unità immobiliare è intestata ad una delle ditte esistenti tenendo conto delle </w:t>
      </w:r>
      <w:r w:rsidRPr="00A7655C">
        <w:rPr>
          <w:rFonts w:ascii="Verdana" w:eastAsia="Times New Roman" w:hAnsi="Verdana" w:cs="Times New Roman"/>
          <w:color w:val="000000" w:themeColor="text1"/>
          <w:sz w:val="27"/>
          <w:szCs w:val="27"/>
          <w:lang w:eastAsia="it-IT"/>
        </w:rPr>
        <w:lastRenderedPageBreak/>
        <w:t>risultanze degli atti catastali. Qualora la particella sia censita alla partita speciale 1, ma non sia stata ancora presentata la relativa dichiarazione al CEU, la nuova unità immobiliare è intestata alla ditta associata allo stadio antecedente al passaggio della particella a partita 1. In assenza delle particolari risultanze soprarichiamate, la nuova unità immobiliare è intestata a tutti i soggetti già intestatari della corte sulla quale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unità stessa insiste.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Aggiornamento della banca dati cartografica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Sulla particella oggetto di aggiornamento e di attribuzione della rendita presunta è apposto solo uno specifico simbolo testuale "&lt;&gt;", in modo da marcare la presenza, sulla stessa, di un fabbricato accertato.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w:t>
      </w:r>
    </w:p>
    <w:p w:rsidR="00A7655C" w:rsidRPr="00A7655C" w:rsidRDefault="00A7655C" w:rsidP="00A7655C">
      <w:pPr>
        <w:spacing w:before="100" w:beforeAutospacing="1" w:after="100" w:afterAutospacing="1" w:line="240" w:lineRule="auto"/>
        <w:jc w:val="right"/>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Allegato 2</w:t>
      </w:r>
    </w:p>
    <w:p w:rsidR="00A7655C" w:rsidRPr="00A7655C" w:rsidRDefault="00A7655C" w:rsidP="00A7655C">
      <w:pPr>
        <w:spacing w:before="100" w:beforeAutospacing="1" w:after="100" w:afterAutospacing="1" w:line="240" w:lineRule="auto"/>
        <w:jc w:val="center"/>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Criteri per la predisposizione degli atti di aggiornamento catastale relativi ad immobili oggetto di attribuzione della rendita presunta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Gli atti di aggiornamento catastale sono predisposti con le modalità di seguito indicate; preliminarmente, si rappresenta che gli atti di aggiornamento cartografico, che interessano particelle già oggetto di attribuzione di rendita presunta - riconoscibili dal simbolo testuale "&lt;&gt;" riportato sull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estratto della mappa - non possono essere predisposti per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approvazione automatica.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Tipo mappale con la rappresentazione delle geometrie relative a tutti i fabbricati soggetti ad obbligo di accatastamento, presenti sulla particella interessata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atto di aggiornamento catastale deve contenere i seguenti elementi:</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la completa geometria degli immobili presenti sulla particella interessata, non riportati dalla procedura di aggiornamento d</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ufficio;</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la cancellazione del simbolo testuale "&lt;&gt;" nella proposta di aggiornamento cartografico;</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lastRenderedPageBreak/>
        <w:t>- la conferma, al CT, per la particella oggetto di aggiornamento, del numero di mappa esistente, nel caso di particella già individuata a "partita speciale 1" (Enti urbani e promiscui);</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la dichiarazione a "partita speciale 1" (Enti urbani e promiscui), nel caso di particella non ancora individuata a partita speciale 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assegnazione, al CT, del numero di mappa prenotato d</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ufficio in fase di registrazione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aggiornamento catastale (presente sulla visura censuaria di CT).</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Tipo mappale con la mancata rappresentazione delle geometrie relative ad almeno uno dei fabbricati soggetti ad obbligo di accatastamento, presenti sulla particella interessata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Tale fattispecie si riscontra nel solo caso di atto di aggiornamento relativo a fabbricati da intestare (anche) a soggetti diversi dagli intestatari catastali e costituenti entità reddituali autonome (ad esempio nei casi di stabilimenti balneari in concessione, su particella intestata al Demanio dello Stato).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In tali casi,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atto di aggiornamento, con la rappresentazione parziale delle geometrie esistenti in loco, deve contenere i seguenti elementi:</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la geometria degli immobili presenti sulla particella ed interessati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individuazione in CT delle entità autonome da dichiarare al CEU, comprensiva - nel solo caso di particella non ancora individuata a "partita speciale 1" -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eventuale corte da stralciare dalla particella originaria;</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la conferma, al CT, per la particella oggetto di aggiornamento, del numero di mappa esistente, nel caso di particella già individuata come "Ente urbano";</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la dichiarazione di "Ente urbano", nel caso di particella non ancora individuata a "partita speciale 1" 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assegnazione, alla particella interessata dai fabbricati oggetto di dichiarazione, del numero di mappa prenotato d</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ufficio in fase di registrazione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aggiornamento catastale (desumibile dalla visura censuaria di CT). Inoltre, in deroga alle disposizioni vigenti, si procede alla conferma del numero di mappa esistente, per la particella eventualmente residuale ed afferente i fabbricati non oggetto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atto di aggiornamento;</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lastRenderedPageBreak/>
        <w:t>- la cancellazione del simbolo testuale "&lt;&gt;" nella proposta di aggiornamento cartografico, nel solo caso di inesistenza di ulteriori fabbricati da accatastare.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Tipo di frazionamento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atto di aggiornamento catastale - </w:t>
      </w:r>
      <w:proofErr w:type="spellStart"/>
      <w:r w:rsidRPr="00A7655C">
        <w:rPr>
          <w:rFonts w:ascii="Verdana" w:eastAsia="Times New Roman" w:hAnsi="Verdana" w:cs="Times New Roman"/>
          <w:color w:val="000000" w:themeColor="text1"/>
          <w:sz w:val="27"/>
          <w:szCs w:val="27"/>
          <w:lang w:eastAsia="it-IT"/>
        </w:rPr>
        <w:t>Pregeo</w:t>
      </w:r>
      <w:proofErr w:type="spellEnd"/>
      <w:r w:rsidRPr="00A7655C">
        <w:rPr>
          <w:rFonts w:ascii="Verdana" w:eastAsia="Times New Roman" w:hAnsi="Verdana" w:cs="Times New Roman"/>
          <w:color w:val="000000" w:themeColor="text1"/>
          <w:sz w:val="27"/>
          <w:szCs w:val="27"/>
          <w:lang w:eastAsia="it-IT"/>
        </w:rPr>
        <w:t xml:space="preserve"> - deve essere preceduto dalla presentazione del tipo mappale relativo alla dichiarazione di variazione per avvenuta edificazione (il tipo mappale può essere redatto contestualmente al tipo di frazionamento). Quest</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ultimo deve essere predisposto in conformità con i criteri di aggiornamento sopra elencati. Sono fatte salve le procedure avviate per iniziativa d</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ufficio.</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Dichiarazione di variazione colturale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La dichiarazione di variazione colturale (</w:t>
      </w:r>
      <w:proofErr w:type="spellStart"/>
      <w:r w:rsidRPr="00A7655C">
        <w:rPr>
          <w:rFonts w:ascii="Verdana" w:eastAsia="Times New Roman" w:hAnsi="Verdana" w:cs="Times New Roman"/>
          <w:color w:val="000000" w:themeColor="text1"/>
          <w:sz w:val="27"/>
          <w:szCs w:val="27"/>
          <w:lang w:eastAsia="it-IT"/>
        </w:rPr>
        <w:t>Docte</w:t>
      </w:r>
      <w:proofErr w:type="spellEnd"/>
      <w:r w:rsidRPr="00A7655C">
        <w:rPr>
          <w:rFonts w:ascii="Verdana" w:eastAsia="Times New Roman" w:hAnsi="Verdana" w:cs="Times New Roman"/>
          <w:color w:val="000000" w:themeColor="text1"/>
          <w:sz w:val="27"/>
          <w:szCs w:val="27"/>
          <w:lang w:eastAsia="it-IT"/>
        </w:rPr>
        <w:t>) può invece essere presentata indipendentemente dalla contestuale predisposizione del tipo mappale relativo alla denuncia di variazione per avvenuta edificazione, in quanto adempimento obbligatorio ai fini fiscali.</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b/>
          <w:bCs/>
          <w:color w:val="000000" w:themeColor="text1"/>
          <w:sz w:val="27"/>
          <w:szCs w:val="27"/>
          <w:lang w:eastAsia="it-IT"/>
        </w:rPr>
        <w:t>Presentazione di atto di aggiornamento del CEU</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Le dichiarazioni relative ad unità immobiliari con rendita presunta devono essere redatte seguendo le modalità previste dal richiamato</w:t>
      </w:r>
      <w:r w:rsidRPr="00C76875">
        <w:rPr>
          <w:rFonts w:ascii="Verdana" w:eastAsia="Times New Roman" w:hAnsi="Verdana" w:cs="Times New Roman"/>
          <w:color w:val="000000" w:themeColor="text1"/>
          <w:sz w:val="27"/>
          <w:lang w:eastAsia="it-IT"/>
        </w:rPr>
        <w:t> </w:t>
      </w:r>
      <w:r w:rsidRPr="00C76875">
        <w:rPr>
          <w:rFonts w:ascii="Verdana" w:eastAsia="Times New Roman" w:hAnsi="Verdana" w:cs="Times New Roman"/>
          <w:i/>
          <w:iCs/>
          <w:color w:val="000000" w:themeColor="text1"/>
          <w:sz w:val="27"/>
          <w:lang w:eastAsia="it-IT"/>
        </w:rPr>
        <w:t>D.M. n. 701 del 1994</w:t>
      </w:r>
      <w:r w:rsidRPr="00A7655C">
        <w:rPr>
          <w:rFonts w:ascii="Verdana" w:eastAsia="Times New Roman" w:hAnsi="Verdana" w:cs="Times New Roman"/>
          <w:color w:val="000000" w:themeColor="text1"/>
          <w:sz w:val="27"/>
          <w:szCs w:val="27"/>
          <w:lang w:eastAsia="it-IT"/>
        </w:rPr>
        <w:t>, con riferimento alle variazioni oggettive, utilizzando la causale "Altre" e la specificazione "DICHIARAZIONE UIU</w:t>
      </w:r>
      <w:r w:rsidRPr="00C76875">
        <w:rPr>
          <w:rFonts w:ascii="Verdana" w:eastAsia="Times New Roman" w:hAnsi="Verdana" w:cs="Times New Roman"/>
          <w:color w:val="000000" w:themeColor="text1"/>
          <w:sz w:val="27"/>
          <w:lang w:eastAsia="it-IT"/>
        </w:rPr>
        <w:t> </w:t>
      </w:r>
      <w:r w:rsidRPr="00A7655C">
        <w:rPr>
          <w:rFonts w:ascii="Verdana" w:eastAsia="Times New Roman" w:hAnsi="Verdana" w:cs="Times New Roman"/>
          <w:i/>
          <w:iCs/>
          <w:color w:val="000000" w:themeColor="text1"/>
          <w:sz w:val="27"/>
          <w:szCs w:val="27"/>
          <w:lang w:eastAsia="it-IT"/>
        </w:rPr>
        <w:t>ART</w:t>
      </w:r>
      <w:r w:rsidRPr="00C76875">
        <w:rPr>
          <w:rFonts w:ascii="Verdana" w:eastAsia="Times New Roman" w:hAnsi="Verdana" w:cs="Times New Roman"/>
          <w:i/>
          <w:iCs/>
          <w:color w:val="000000" w:themeColor="text1"/>
          <w:sz w:val="27"/>
          <w:lang w:eastAsia="it-IT"/>
        </w:rPr>
        <w:t> 19 </w:t>
      </w:r>
      <w:proofErr w:type="spellStart"/>
      <w:r w:rsidRPr="00C76875">
        <w:rPr>
          <w:rFonts w:ascii="Verdana" w:eastAsia="Times New Roman" w:hAnsi="Verdana" w:cs="Times New Roman"/>
          <w:i/>
          <w:iCs/>
          <w:color w:val="000000" w:themeColor="text1"/>
          <w:sz w:val="27"/>
          <w:lang w:eastAsia="it-IT"/>
        </w:rPr>
        <w:t>DL</w:t>
      </w:r>
      <w:proofErr w:type="spellEnd"/>
      <w:r w:rsidRPr="00C76875">
        <w:rPr>
          <w:rFonts w:ascii="Verdana" w:eastAsia="Times New Roman" w:hAnsi="Verdana" w:cs="Times New Roman"/>
          <w:i/>
          <w:iCs/>
          <w:color w:val="000000" w:themeColor="text1"/>
          <w:sz w:val="27"/>
          <w:lang w:eastAsia="it-IT"/>
        </w:rPr>
        <w:t xml:space="preserve"> 78/10</w:t>
      </w:r>
      <w:r w:rsidRPr="00A7655C">
        <w:rPr>
          <w:rFonts w:ascii="Verdana" w:eastAsia="Times New Roman" w:hAnsi="Verdana" w:cs="Times New Roman"/>
          <w:color w:val="000000" w:themeColor="text1"/>
          <w:sz w:val="27"/>
          <w:szCs w:val="27"/>
          <w:lang w:eastAsia="it-IT"/>
        </w:rPr>
        <w:t>".</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individuazione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unità immobiliare deve essere effettuata indicando sempre un nuovo subalterno, provvedendo alla soppressione di quello con cui è stato registrato negli atti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immobile con rendita presunta. In ogni dichiarazione è indicata anche la data di ultimazione dei lavori, relativa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immobile.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La dichiarazione "Docfa" deve essere predisposta con le modalità ordinarie, tenendo conto in particolare delle seguenti indicazioni:</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il riferimento alle corrispondenti UIU, identificate mediante il numero di mappa attribuito con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 xml:space="preserve">atto di aggiornamento di CT, con le </w:t>
      </w:r>
      <w:r w:rsidRPr="00A7655C">
        <w:rPr>
          <w:rFonts w:ascii="Verdana" w:eastAsia="Times New Roman" w:hAnsi="Verdana" w:cs="Times New Roman"/>
          <w:color w:val="000000" w:themeColor="text1"/>
          <w:sz w:val="27"/>
          <w:szCs w:val="27"/>
          <w:lang w:eastAsia="it-IT"/>
        </w:rPr>
        <w:lastRenderedPageBreak/>
        <w:t>relative operazioni di soppressione e costituzione, secondo le vigenti regole ed in ragione della fattispecie dichiarata;</w:t>
      </w:r>
    </w:p>
    <w:p w:rsidR="00A7655C" w:rsidRPr="00A7655C" w:rsidRDefault="00A7655C" w:rsidP="00A7655C">
      <w:pPr>
        <w:spacing w:before="100" w:beforeAutospacing="1" w:after="100" w:afterAutospacing="1" w:line="240" w:lineRule="auto"/>
        <w:ind w:firstLine="400"/>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 la completa descrizione della geometria delle singole UIU, mediante redazione delle relative planimetrie urbane e corrispondente calcolo delle superfici, oltre alla redazione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elaborato planimetrico, nei casi previsti dalla vigente prassi catastale.</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Resta inteso che la causale sopra riportata può essere utilizzata solo per le dichiarazioni al CEU riguardanti lo stadio dell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immobile correlato alla rendita presunta.</w:t>
      </w:r>
    </w:p>
    <w:p w:rsidR="00A7655C" w:rsidRPr="00A7655C" w:rsidRDefault="00A7655C" w:rsidP="00A7655C">
      <w:pPr>
        <w:spacing w:before="100" w:beforeAutospacing="1" w:after="100" w:afterAutospacing="1" w:line="240" w:lineRule="auto"/>
        <w:jc w:val="both"/>
        <w:rPr>
          <w:rFonts w:ascii="Verdana" w:eastAsia="Times New Roman" w:hAnsi="Verdana" w:cs="Times New Roman"/>
          <w:color w:val="000000" w:themeColor="text1"/>
          <w:sz w:val="27"/>
          <w:szCs w:val="27"/>
          <w:lang w:eastAsia="it-IT"/>
        </w:rPr>
      </w:pPr>
      <w:r w:rsidRPr="00A7655C">
        <w:rPr>
          <w:rFonts w:ascii="Verdana" w:eastAsia="Times New Roman" w:hAnsi="Verdana" w:cs="Times New Roman"/>
          <w:color w:val="000000" w:themeColor="text1"/>
          <w:sz w:val="27"/>
          <w:szCs w:val="27"/>
          <w:lang w:eastAsia="it-IT"/>
        </w:rPr>
        <w:t>Si evidenzia che è opportuno dichiarare 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aggiornamento dello stadio relativo all</w:t>
      </w:r>
      <w:r w:rsidR="00C76875" w:rsidRPr="00C76875">
        <w:rPr>
          <w:rFonts w:ascii="Verdana" w:eastAsia="Times New Roman" w:hAnsi="Verdana" w:cs="Times New Roman"/>
          <w:color w:val="000000" w:themeColor="text1"/>
          <w:sz w:val="27"/>
          <w:szCs w:val="27"/>
          <w:lang w:eastAsia="it-IT"/>
        </w:rPr>
        <w:t>’</w:t>
      </w:r>
      <w:r w:rsidRPr="00A7655C">
        <w:rPr>
          <w:rFonts w:ascii="Verdana" w:eastAsia="Times New Roman" w:hAnsi="Verdana" w:cs="Times New Roman"/>
          <w:color w:val="000000" w:themeColor="text1"/>
          <w:sz w:val="27"/>
          <w:szCs w:val="27"/>
          <w:lang w:eastAsia="it-IT"/>
        </w:rPr>
        <w:t>attribuzione della rendita presunta, prima di procedere a qualsiasi dichiarazione di variazione con altre causali, individuate sulla base degli interventi edilizi interessanti dette unità immobiliari.</w:t>
      </w:r>
    </w:p>
    <w:p w:rsidR="008E304F" w:rsidRPr="00C76875" w:rsidRDefault="008E304F">
      <w:pPr>
        <w:rPr>
          <w:color w:val="000000" w:themeColor="text1"/>
        </w:rPr>
      </w:pPr>
    </w:p>
    <w:sectPr w:rsidR="008E304F" w:rsidRPr="00C76875" w:rsidSect="008E30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7655C"/>
    <w:rsid w:val="008E304F"/>
    <w:rsid w:val="00A7655C"/>
    <w:rsid w:val="00C76875"/>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30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estremo">
    <w:name w:val="provv_estremo"/>
    <w:basedOn w:val="Normale"/>
    <w:rsid w:val="00A765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7655C"/>
  </w:style>
  <w:style w:type="character" w:styleId="Collegamentoipertestuale">
    <w:name w:val="Hyperlink"/>
    <w:basedOn w:val="Carpredefinitoparagrafo"/>
    <w:uiPriority w:val="99"/>
    <w:semiHidden/>
    <w:unhideWhenUsed/>
    <w:rsid w:val="00A7655C"/>
    <w:rPr>
      <w:color w:val="0000FF"/>
      <w:u w:val="single"/>
    </w:rPr>
  </w:style>
  <w:style w:type="paragraph" w:customStyle="1" w:styleId="provvr0">
    <w:name w:val="provv_r0"/>
    <w:basedOn w:val="Normale"/>
    <w:rsid w:val="00A765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nota">
    <w:name w:val="provv_nota"/>
    <w:basedOn w:val="Normale"/>
    <w:rsid w:val="00A765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765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c">
    <w:name w:val="provv_c"/>
    <w:basedOn w:val="Normale"/>
    <w:rsid w:val="00A765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d">
    <w:name w:val="provv_d"/>
    <w:basedOn w:val="Normale"/>
    <w:rsid w:val="00A765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A7655C"/>
  </w:style>
  <w:style w:type="character" w:customStyle="1" w:styleId="provvrubrica">
    <w:name w:val="provv_rubrica"/>
    <w:basedOn w:val="Carpredefinitoparagrafo"/>
    <w:rsid w:val="00A7655C"/>
  </w:style>
  <w:style w:type="paragraph" w:customStyle="1" w:styleId="provvr1">
    <w:name w:val="provv_r1"/>
    <w:basedOn w:val="Normale"/>
    <w:rsid w:val="00A765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2">
    <w:name w:val="provv_r2"/>
    <w:basedOn w:val="Normale"/>
    <w:rsid w:val="00A7655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943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4730</Words>
  <Characters>26967</Characters>
  <Application>Microsoft Office Word</Application>
  <DocSecurity>0</DocSecurity>
  <Lines>224</Lines>
  <Paragraphs>63</Paragraphs>
  <ScaleCrop>false</ScaleCrop>
  <Company/>
  <LinksUpToDate>false</LinksUpToDate>
  <CharactersWithSpaces>31634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cp:revision>
  <dcterms:created xsi:type="dcterms:W3CDTF">2014-05-30T08:06:00Z</dcterms:created>
  <dcterms:modified xsi:type="dcterms:W3CDTF">2014-05-30T09:06:00Z</dcterms:modified>
</cp:coreProperties>
</file>