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 xml:space="preserve">L. 23 dicembre 1996, n. </w:t>
      </w:r>
      <w:bookmarkStart w:id="0" w:name="1up"/>
      <w:r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662</w:t>
      </w:r>
      <w:r w:rsidRPr="000040C4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(1)</w:t>
      </w:r>
      <w:bookmarkEnd w:id="0"/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Misure di razionalizzazione della finanza pubblica</w:t>
      </w:r>
    </w:p>
    <w:p w:rsidR="000040C4" w:rsidRPr="000040C4" w:rsidRDefault="000040C4" w:rsidP="000040C4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Pubblicata nella </w:t>
      </w:r>
      <w:proofErr w:type="spellStart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Gazz</w:t>
      </w:r>
      <w:proofErr w:type="spellEnd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 Uff. 28 dicembre 1996, n. 303, S.O.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[…]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3. Disposizioni in materia di entrata</w:t>
      </w:r>
      <w:bookmarkStart w:id="1" w:name="315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2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1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D.P.R. 29 settembre 1973, n. 601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è abrogato a far data dal 1° gennaio 1997. Da tale data,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assegno del Presidente della Repubblica si applica lo stesso trattamento fiscale riservato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indennità parlamentare.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2" w:name="315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(2)</w:t>
      </w:r>
      <w:bookmarkEnd w:id="2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Vedi, anche, l’art. 44 del testo unico di cui al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D.P.R. 30 dicembre 2003, n. 398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3.</w:t>
      </w: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154. Con uno o più regolamenti, da emanare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articolo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17, comma 2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della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23 agosto 1988, n. 400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al fine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aggiornamento del catasto e della sua gestione unitaria con province e comuni, anche per favorire il recupero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evasione, è disposta la revisione generale delle zone censuarie, delle tariffe d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estimo, della qualificazione, della classificazione e del classamento delle unità immobiliari e dei terreni e dei relativi criteri nonché delle commissioni censuarie, secondo i seguenti </w:t>
      </w:r>
      <w:proofErr w:type="spellStart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princìpi</w:t>
      </w:r>
      <w:bookmarkStart w:id="3" w:name="434up"/>
      <w:proofErr w:type="spellEnd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3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3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: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attribuzione ai comuni di competenze in ordine alla articolazione del territorio comunale in microzone omogenee, secondo criteri generali uniformi.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articolazione suddetta, in sede di prima applicazione, è deliberata entro il 31 dicembre 1997 e può essere periodicamente modificata;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b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individuazione delle tariffe d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estimo di reddito facendo riferimento, al fine di determinare la redditività media ordinariamente ritraibile dalla unità immobiliare, ai valori e ai redditi medi espressi dal mercato immobiliare con esclusione di regimi legali di determinazione dei canoni;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c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intervento dei comuni nel procedimento di determinazione delle tariffe d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estimo. A tal fine sono indette conferenze di servizi in applicazione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articolo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14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della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7 agosto 1990, n. 241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 Nel caso di dissenso, la determinazione delle stesse è devoluta agli organi di cui alla lettera</w:t>
      </w:r>
      <w:r w:rsidRPr="000040C4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lastRenderedPageBreak/>
        <w:t>d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revisione della disciplina in materia di commissioni censuarie. La composizione delle commissioni e i procedimenti di nomina dei componenti sono ispirati a criteri di semplificazione e di rappresentatività tecnica anche delle regioni, delle province e dei comuni;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attribuzione della rendita catastale alle unità appartenenti alle varie categorie ordinarie con criteri che tengono conto dei caratteri specifici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unità immobiliare, del fabbricato e della </w:t>
      </w:r>
      <w:proofErr w:type="spellStart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microzona</w:t>
      </w:r>
      <w:proofErr w:type="spellEnd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 ove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unità è sita</w:t>
      </w:r>
      <w:bookmarkStart w:id="4" w:name="435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(4)</w:t>
      </w:r>
      <w:bookmarkEnd w:id="4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e-bis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fissazione di nuovi criteri per la definizione delle zone censuarie e della qualificazione dei terreni</w:t>
      </w:r>
      <w:bookmarkStart w:id="5" w:name="436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5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5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0040C4" w:rsidRPr="000040C4" w:rsidRDefault="000040C4" w:rsidP="000040C4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proofErr w:type="spellStart"/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e-ter</w:t>
      </w:r>
      <w:proofErr w:type="spellEnd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) individuazione di nuovi criteri di classificazione e determinazione delle rendite del catasto dei terreni, che tengano conto anche della potenzialità produttiva dei suoli</w:t>
      </w:r>
      <w:bookmarkStart w:id="6" w:name="437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6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6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7" w:name="434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 (3)</w:t>
      </w:r>
      <w:bookmarkEnd w:id="7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Alinea così modificato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26, L. 18 febbraio 1999, n. 28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8" w:name="435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(4)</w:t>
      </w:r>
      <w:bookmarkEnd w:id="8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Vedi il regolamento approvato con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D.P.R. 23 marzo 1998, n. 138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9" w:name="436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(5)</w:t>
      </w:r>
      <w:bookmarkEnd w:id="9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Lettera aggiunta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26, L. 18 febbraio 1999, n. 28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0" w:name="437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(6)</w:t>
      </w:r>
      <w:bookmarkEnd w:id="10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Lettera aggiunta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26, L. 18 febbraio 1999, n. 28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3.</w:t>
      </w: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155. Nei regolamenti di cui al comma 154 è stabilita la data di decorrenza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applicazione dei nuovi estimi catastali. Tale data non può essere in ogni caso anteriore al 1° gennaio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anno successivo a quello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adozione dei regolamenti medesimi</w:t>
      </w:r>
      <w:bookmarkStart w:id="11" w:name="438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7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11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2" w:name="438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 (7)</w:t>
      </w:r>
      <w:bookmarkEnd w:id="12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Vedi il regolamento approvato con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D.P.R. 23 marzo 1998, n. 138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3.</w:t>
      </w:r>
      <w:r w:rsidRPr="000040C4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156. Con uno o più regolamenti da emanare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articolo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17, comma 2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della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23 agosto 1988, n. 400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è disposta la revisione dei criteri di accatastamento dei fabbricati rurali previsti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articolo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9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30 dicembre 1993, n. 557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0040C4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26 febbraio 1994, n. 133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tenendo conto del fatto che la normativa deve essere applicata soltanto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edilizia rurale abitativa con particolare riguardo ai fabbricati siti in zone montane e che si deve provvedere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istituzione di una categoria di immobili a destinazione speciale per il classamento dei fabbricati strumentali, ivi compresi quelli destinati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attività 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agrituristica, considerando inoltre per le aree montane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elevato frazionamento fondiario 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elevata frammentazione delle superfici agrarie e il ruolo fondamentale in esse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agricoltura a tempo parziale 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integrazione tra più attività economiche per la cura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ambiente. Il termine del 31 dicembre 1995, previsto dai commi 8, primo periodo, e 9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articolo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9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30 dicembre 1993, n. 557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 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26 febbraio 1994, n. 133</w:t>
      </w:r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e successive modificazioni, è ulteriormente differito al 31 dicembre 1997</w:t>
      </w:r>
      <w:bookmarkStart w:id="13" w:name="439up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8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Start w:id="14" w:name="440up"/>
      <w:bookmarkEnd w:id="13"/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9</w:t>
      </w:r>
      <w:r w:rsidRPr="000040C4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14"/>
      <w:r w:rsidRPr="000040C4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5" w:name="439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(8)</w:t>
      </w:r>
      <w:bookmarkEnd w:id="15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Termine prorogato al 31 dicembre 1998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14, L. 27 dicembre 1997, n. 449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, al 31 dicembre 1999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6, L. 23 dicembre 1998, n. 448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, al 31 dicembre 2000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7, comma 5, L. 23 dicembre 1999, n. 488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e al 31 dicembre 2001 dall’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64, comma 4, L. 23 dicembre 2000, n. 388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6" w:name="440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(9)</w:t>
      </w:r>
      <w:bookmarkEnd w:id="16"/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In attuazione del presente comma vedi il </w:t>
      </w:r>
      <w:r w:rsidRPr="000040C4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D.P.R. 23 marzo 1998, n. 139</w:t>
      </w:r>
      <w:r w:rsidRPr="000040C4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0040C4" w:rsidRPr="000040C4" w:rsidRDefault="000040C4" w:rsidP="000040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0040C4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[…]</w:t>
      </w:r>
    </w:p>
    <w:p w:rsidR="00CB137C" w:rsidRPr="000040C4" w:rsidRDefault="00CB137C">
      <w:pPr>
        <w:rPr>
          <w:color w:val="000000" w:themeColor="text1"/>
        </w:rPr>
      </w:pPr>
    </w:p>
    <w:sectPr w:rsidR="00CB137C" w:rsidRPr="000040C4" w:rsidSect="00CB1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A21"/>
    <w:multiLevelType w:val="hybridMultilevel"/>
    <w:tmpl w:val="FCC808AE"/>
    <w:lvl w:ilvl="0" w:tplc="35A68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40C4"/>
    <w:rsid w:val="000040C4"/>
    <w:rsid w:val="00C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40C4"/>
  </w:style>
  <w:style w:type="character" w:styleId="Collegamentoipertestuale">
    <w:name w:val="Hyperlink"/>
    <w:basedOn w:val="Carpredefinitoparagrafo"/>
    <w:uiPriority w:val="99"/>
    <w:semiHidden/>
    <w:unhideWhenUsed/>
    <w:rsid w:val="000040C4"/>
    <w:rPr>
      <w:color w:val="0000FF"/>
      <w:u w:val="single"/>
    </w:rPr>
  </w:style>
  <w:style w:type="paragraph" w:customStyle="1" w:styleId="provvgiury">
    <w:name w:val="provv_giury"/>
    <w:basedOn w:val="Normale"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0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2014-05-29T09:45:00Z</dcterms:created>
  <dcterms:modified xsi:type="dcterms:W3CDTF">2014-05-29T09:53:00Z</dcterms:modified>
</cp:coreProperties>
</file>